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bookmarkStart w:id="0" w:name="_Toc15377193"/>
      <w:bookmarkStart w:id="1" w:name="_Toc15396597"/>
      <w:bookmarkStart w:id="2" w:name="_Toc15396475"/>
      <w:bookmarkStart w:id="3" w:name="_Toc15377425"/>
      <w:bookmarkStart w:id="4" w:name="_Toc15378441"/>
      <w:bookmarkStart w:id="5" w:name="_Toc15306267"/>
      <w:r>
        <w:rPr>
          <w:rFonts w:hint="eastAsia" w:ascii="仿宋_GB2312" w:eastAsia="仿宋_GB2312"/>
          <w:sz w:val="32"/>
          <w:szCs w:val="32"/>
        </w:rPr>
        <w:t>附件</w:t>
      </w:r>
      <w:r>
        <w:rPr>
          <w:rFonts w:ascii="仿宋_GB2312" w:eastAsia="仿宋_GB2312"/>
          <w:sz w:val="32"/>
          <w:szCs w:val="32"/>
        </w:rPr>
        <w:t>2</w:t>
      </w: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2</w:t>
      </w:r>
      <w:r>
        <w:rPr>
          <w:rFonts w:hint="eastAsia" w:ascii="方正小标宋简体" w:eastAsia="方正小标宋简体" w:cs="方正小标宋简体"/>
          <w:sz w:val="72"/>
          <w:szCs w:val="72"/>
        </w:rPr>
        <w:t>年度</w:t>
      </w:r>
      <w:bookmarkEnd w:id="0"/>
      <w:bookmarkEnd w:id="1"/>
      <w:bookmarkEnd w:id="2"/>
      <w:bookmarkEnd w:id="3"/>
      <w:bookmarkEnd w:id="4"/>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bookmarkStart w:id="6" w:name="_Toc15396476"/>
      <w:bookmarkStart w:id="7" w:name="_Toc15378442"/>
      <w:bookmarkStart w:id="8" w:name="_Toc15396598"/>
      <w:bookmarkStart w:id="9" w:name="_Toc15377194"/>
      <w:bookmarkStart w:id="10" w:name="_Toc15377426"/>
      <w:r>
        <w:rPr>
          <w:rFonts w:hint="eastAsia" w:ascii="方正小标宋简体" w:eastAsia="方正小标宋简体" w:cs="方正小标宋简体"/>
          <w:sz w:val="72"/>
          <w:szCs w:val="72"/>
          <w:lang w:val="en-US" w:eastAsia="zh-CN"/>
        </w:rPr>
        <w:t>四川省</w:t>
      </w:r>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lang w:val="en-US" w:eastAsia="zh-CN"/>
        </w:rPr>
        <w:t>红十字会</w:t>
      </w:r>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r>
        <w:rPr>
          <w:rFonts w:hint="eastAsia" w:ascii="方正小标宋简体" w:eastAsia="方正小标宋简体" w:cs="方正小标宋简体"/>
          <w:sz w:val="72"/>
          <w:szCs w:val="72"/>
        </w:rPr>
        <w:t>部门决算</w:t>
      </w:r>
      <w:bookmarkEnd w:id="6"/>
      <w:bookmarkEnd w:id="7"/>
      <w:bookmarkEnd w:id="8"/>
      <w:bookmarkEnd w:id="9"/>
      <w:bookmarkEnd w:id="10"/>
      <w:bookmarkEnd w:id="11"/>
      <w:r>
        <w:rPr>
          <w:rFonts w:hint="eastAsia" w:ascii="方正小标宋简体" w:eastAsia="方正小标宋简体" w:cs="方正小标宋简体"/>
          <w:sz w:val="72"/>
          <w:szCs w:val="72"/>
          <w:lang w:val="en-US" w:eastAsia="zh-CN"/>
        </w:rPr>
        <w:t>公开</w:t>
      </w:r>
    </w:p>
    <w:p>
      <w:pPr>
        <w:pStyle w:val="5"/>
        <w:spacing w:before="93"/>
      </w:pPr>
    </w:p>
    <w:p>
      <w:pPr>
        <w:pStyle w:val="5"/>
        <w:spacing w:before="93"/>
      </w:pPr>
    </w:p>
    <w:p>
      <w:pPr>
        <w:pStyle w:val="5"/>
        <w:spacing w:before="93"/>
      </w:pPr>
    </w:p>
    <w:p>
      <w:pPr>
        <w:pStyle w:val="5"/>
        <w:spacing w:before="93"/>
      </w:pPr>
    </w:p>
    <w:p>
      <w:pPr>
        <w:pStyle w:val="5"/>
        <w:spacing w:before="93"/>
      </w:pPr>
    </w:p>
    <w:p>
      <w:pPr>
        <w:pStyle w:val="5"/>
        <w:spacing w:before="93"/>
      </w:pPr>
    </w:p>
    <w:p>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0"/>
      </w:pPr>
      <w:r>
        <w:rPr>
          <w:rFonts w:hint="eastAsia"/>
        </w:rPr>
        <w:t>公开时间：202</w:t>
      </w:r>
      <w:r>
        <w:rPr>
          <w:rFonts w:hint="eastAsia"/>
          <w:lang w:val="en-US" w:eastAsia="zh-CN"/>
        </w:rPr>
        <w:t>3</w:t>
      </w:r>
      <w:r>
        <w:rPr>
          <w:rFonts w:hint="eastAsia"/>
        </w:rPr>
        <w:t>年</w:t>
      </w:r>
      <w:r>
        <w:t>9</w:t>
      </w:r>
      <w:r>
        <w:rPr>
          <w:rFonts w:hint="eastAsia"/>
        </w:rPr>
        <w:t>月</w:t>
      </w:r>
      <w:r>
        <w:rPr>
          <w:rFonts w:hint="eastAsia"/>
          <w:lang w:val="en-US" w:eastAsia="zh-CN"/>
        </w:rPr>
        <w:t>1</w:t>
      </w:r>
      <w:r>
        <w:rPr>
          <w:rFonts w:hint="default"/>
          <w:lang w:val="en-US" w:eastAsia="zh-CN"/>
        </w:rPr>
        <w:t>2</w:t>
      </w:r>
      <w:bookmarkStart w:id="77" w:name="_GoBack"/>
      <w:bookmarkEnd w:id="77"/>
      <w:r>
        <w:rPr>
          <w:rFonts w:hint="eastAsia"/>
        </w:rPr>
        <w:t>日</w:t>
      </w:r>
    </w:p>
    <w:p/>
    <w:p>
      <w:pPr>
        <w:pStyle w:val="10"/>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第一部分 部门概况</w:t>
      </w:r>
    </w:p>
    <w:p>
      <w:pPr>
        <w:pStyle w:val="11"/>
        <w:adjustRightInd w:val="0"/>
        <w:snapToGrid w:val="0"/>
        <w:spacing w:line="440" w:lineRule="exact"/>
        <w:ind w:left="420"/>
        <w:jc w:val="left"/>
        <w:rPr>
          <w:rFonts w:hint="default" w:ascii="仿宋" w:eastAsia="宋体"/>
          <w:sz w:val="24"/>
          <w:lang w:val="en-US" w:eastAsia="zh-CN"/>
        </w:rPr>
      </w:pPr>
      <w:r>
        <w:rPr>
          <w:rFonts w:hint="eastAsia"/>
          <w:sz w:val="24"/>
        </w:rPr>
        <w:t>一、基本职能及主要工作</w:t>
      </w:r>
      <w:r>
        <w:rPr>
          <w:rFonts w:hint="eastAsia"/>
          <w:sz w:val="24"/>
          <w:lang w:val="en-US" w:eastAsia="zh-CN"/>
        </w:rPr>
        <w:t>------------------------------------------------------- 4</w:t>
      </w:r>
    </w:p>
    <w:p>
      <w:pPr>
        <w:pStyle w:val="11"/>
        <w:adjustRightInd w:val="0"/>
        <w:snapToGrid w:val="0"/>
        <w:spacing w:line="440" w:lineRule="exact"/>
        <w:ind w:left="420"/>
        <w:jc w:val="left"/>
        <w:rPr>
          <w:rFonts w:hint="default" w:ascii="仿宋" w:eastAsia="宋体"/>
          <w:sz w:val="24"/>
          <w:lang w:val="en-US" w:eastAsia="zh-CN"/>
        </w:rPr>
      </w:pPr>
      <w:r>
        <w:rPr>
          <w:rFonts w:hint="eastAsia"/>
          <w:sz w:val="24"/>
        </w:rPr>
        <w:t>二、机构设置</w:t>
      </w:r>
      <w:r>
        <w:rPr>
          <w:rFonts w:hint="eastAsia"/>
          <w:sz w:val="24"/>
          <w:lang w:val="en-US" w:eastAsia="zh-CN"/>
        </w:rPr>
        <w:t>--------------------------------------------------------------------- 4</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第二部分 2022年度部门决算情况说明</w:t>
      </w:r>
      <w:r>
        <w:rPr>
          <w:rFonts w:hint="eastAsia" w:ascii="Times New Roman" w:eastAsia="宋体" w:cs="Times New Roman"/>
          <w:kern w:val="2"/>
          <w:sz w:val="24"/>
          <w:szCs w:val="24"/>
          <w:lang w:val="en-US" w:eastAsia="zh-CN" w:bidi="ar-SA"/>
        </w:rPr>
        <w:t>------------------------------------------- 5</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一、收入支出决算总体情况说明</w:t>
      </w:r>
      <w:r>
        <w:rPr>
          <w:rFonts w:hint="eastAsia"/>
          <w:sz w:val="24"/>
          <w:lang w:val="en-US" w:eastAsia="zh-CN"/>
        </w:rPr>
        <w:t>----------------------------------------------- 5</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二、收入决算情况说明</w:t>
      </w:r>
      <w:r>
        <w:rPr>
          <w:rFonts w:hint="eastAsia"/>
          <w:sz w:val="24"/>
          <w:lang w:val="en-US" w:eastAsia="zh-CN"/>
        </w:rPr>
        <w:t>-----------------------------------------------------------5</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三、支出决算情况说明</w:t>
      </w:r>
      <w:r>
        <w:rPr>
          <w:rFonts w:hint="eastAsia"/>
          <w:sz w:val="24"/>
          <w:lang w:val="en-US" w:eastAsia="zh-CN"/>
        </w:rPr>
        <w:t>-----------------------------------------------------------6</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四、财政拨款收入支出决算总体情况说明</w:t>
      </w:r>
      <w:r>
        <w:rPr>
          <w:rFonts w:hint="eastAsia"/>
          <w:sz w:val="24"/>
          <w:lang w:val="en-US" w:eastAsia="zh-CN"/>
        </w:rPr>
        <w:t>-------------------------------------7</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五、一般公共预算财政拨款支出决算情况说明</w:t>
      </w:r>
      <w:r>
        <w:rPr>
          <w:rFonts w:hint="eastAsia"/>
          <w:sz w:val="24"/>
          <w:lang w:val="en-US" w:eastAsia="zh-CN"/>
        </w:rPr>
        <w:t>-------------------------------8</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六、一般公共预算财政拨款基本支出决算情况说明</w:t>
      </w:r>
      <w:r>
        <w:rPr>
          <w:rFonts w:hint="eastAsia"/>
          <w:sz w:val="24"/>
          <w:lang w:val="en-US" w:eastAsia="zh-CN"/>
        </w:rPr>
        <w:t>-------------------------10</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七、“三公”经费财政拨款支出决算情况说明</w:t>
      </w:r>
      <w:r>
        <w:rPr>
          <w:rFonts w:hint="eastAsia"/>
          <w:sz w:val="24"/>
          <w:lang w:val="en-US" w:eastAsia="zh-CN"/>
        </w:rPr>
        <w:t>------------------------------11</w:t>
      </w:r>
    </w:p>
    <w:p>
      <w:pPr>
        <w:pStyle w:val="11"/>
        <w:adjustRightInd w:val="0"/>
        <w:snapToGrid w:val="0"/>
        <w:spacing w:line="440" w:lineRule="exact"/>
        <w:ind w:left="420"/>
        <w:jc w:val="left"/>
        <w:rPr>
          <w:rFonts w:hint="default" w:ascii="仿宋" w:eastAsia="宋体" w:cs="Arial"/>
          <w:sz w:val="24"/>
          <w:lang w:val="en-US" w:eastAsia="zh-CN"/>
        </w:rPr>
      </w:pPr>
      <w:r>
        <w:rPr>
          <w:rFonts w:hint="eastAsia"/>
          <w:sz w:val="24"/>
        </w:rPr>
        <w:t>八、政府性基金预算支出决算情况说明</w:t>
      </w:r>
      <w:r>
        <w:rPr>
          <w:rFonts w:hint="eastAsia"/>
          <w:sz w:val="24"/>
          <w:lang w:val="en-US" w:eastAsia="zh-CN"/>
        </w:rPr>
        <w:t>--------------------------------------11</w:t>
      </w:r>
    </w:p>
    <w:p>
      <w:pPr>
        <w:pStyle w:val="11"/>
        <w:adjustRightInd w:val="0"/>
        <w:snapToGrid w:val="0"/>
        <w:spacing w:line="440" w:lineRule="exact"/>
        <w:ind w:left="0" w:leftChars="0"/>
        <w:jc w:val="left"/>
        <w:rPr>
          <w:rFonts w:hint="default" w:ascii="宋体" w:eastAsia="宋体" w:cs="宋体"/>
          <w:sz w:val="24"/>
          <w:lang w:val="en-US" w:eastAsia="zh-CN"/>
        </w:rPr>
      </w:pPr>
      <w:r>
        <w:rPr>
          <w:rFonts w:hint="eastAsia" w:ascii="宋体" w:cs="宋体"/>
          <w:sz w:val="24"/>
        </w:rPr>
        <w:t>九、国有资本经营预算支出决算情况说明</w:t>
      </w:r>
      <w:r>
        <w:rPr>
          <w:rFonts w:hint="eastAsia"/>
          <w:sz w:val="24"/>
          <w:lang w:val="en-US" w:eastAsia="zh-CN"/>
        </w:rPr>
        <w:t>--------------------------------------</w:t>
      </w:r>
      <w:r>
        <w:rPr>
          <w:rFonts w:hint="default"/>
          <w:sz w:val="24"/>
          <w:lang w:val="en-US" w:eastAsia="zh-CN"/>
        </w:rPr>
        <w:t>--</w:t>
      </w:r>
      <w:r>
        <w:rPr>
          <w:rFonts w:hint="eastAsia"/>
          <w:sz w:val="24"/>
          <w:lang w:val="en-US" w:eastAsia="zh-CN"/>
        </w:rPr>
        <w:t>11</w:t>
      </w:r>
      <w:r>
        <w:rPr>
          <w:rFonts w:hint="eastAsia" w:ascii="宋体" w:cs="宋体"/>
          <w:sz w:val="24"/>
          <w:lang w:val="en-US" w:eastAsia="zh-CN"/>
        </w:rPr>
        <w:t xml:space="preserve">                       </w:t>
      </w:r>
    </w:p>
    <w:p>
      <w:pPr>
        <w:adjustRightInd w:val="0"/>
        <w:snapToGrid w:val="0"/>
        <w:spacing w:line="440" w:lineRule="exact"/>
        <w:ind w:firstLine="420" w:firstLineChars="175"/>
        <w:jc w:val="left"/>
        <w:rPr>
          <w:rFonts w:hint="default" w:ascii="宋体" w:eastAsia="宋体" w:cs="宋体"/>
          <w:sz w:val="24"/>
          <w:lang w:val="en-US" w:eastAsia="zh-CN"/>
        </w:rPr>
      </w:pPr>
      <w:r>
        <w:rPr>
          <w:rStyle w:val="15"/>
          <w:rFonts w:hint="eastAsia" w:ascii="宋体" w:cs="宋体"/>
          <w:color w:val="auto"/>
          <w:sz w:val="24"/>
          <w:u w:val="none"/>
        </w:rPr>
        <w:t>十、</w:t>
      </w:r>
      <w:r>
        <w:rPr>
          <w:rFonts w:hint="eastAsia" w:ascii="宋体" w:cs="宋体"/>
          <w:sz w:val="24"/>
        </w:rPr>
        <w:t>其他重要事项的情况说明</w:t>
      </w:r>
      <w:r>
        <w:rPr>
          <w:rFonts w:hint="eastAsia"/>
          <w:sz w:val="24"/>
          <w:lang w:val="en-US" w:eastAsia="zh-CN"/>
        </w:rPr>
        <w:t>------------------------------------</w:t>
      </w:r>
      <w:r>
        <w:rPr>
          <w:rFonts w:hint="default"/>
          <w:sz w:val="24"/>
          <w:lang w:val="en-US" w:eastAsia="zh-CN"/>
        </w:rPr>
        <w:t>-------------21</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第三部分 名词解释</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w:t>
      </w:r>
      <w:r>
        <w:rPr>
          <w:rFonts w:hint="default" w:asci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2</w:t>
      </w:r>
      <w:r>
        <w:rPr>
          <w:rFonts w:hint="default" w:ascii="Times New Roman" w:eastAsia="宋体" w:cs="Times New Roman"/>
          <w:kern w:val="2"/>
          <w:sz w:val="24"/>
          <w:szCs w:val="24"/>
          <w:lang w:val="en-US" w:eastAsia="zh-CN" w:bidi="ar-SA"/>
        </w:rPr>
        <w:t>4</w:t>
      </w:r>
    </w:p>
    <w:p>
      <w:pPr>
        <w:pStyle w:val="10"/>
        <w:adjustRightInd w:val="0"/>
        <w:snapToGrid w:val="0"/>
        <w:spacing w:before="0" w:line="440" w:lineRule="exact"/>
        <w:jc w:val="left"/>
        <w:rPr>
          <w:rFonts w:hint="default" w:asci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第四部分 附件</w:t>
      </w:r>
      <w:r>
        <w:rPr>
          <w:rFonts w:hint="default" w:ascii="Times New Roman" w:eastAsia="宋体" w:cs="Times New Roman"/>
          <w:kern w:val="2"/>
          <w:sz w:val="24"/>
          <w:szCs w:val="24"/>
          <w:lang w:val="en-US" w:eastAsia="zh-CN" w:bidi="ar-SA"/>
        </w:rPr>
        <w:t xml:space="preserve">-----------------------------------------------------------------------28 </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第五部分 附表</w:t>
      </w:r>
      <w:r>
        <w:rPr>
          <w:rFonts w:hint="default" w:ascii="Times New Roman" w:eastAsia="宋体" w:cs="Times New Roman"/>
          <w:kern w:val="2"/>
          <w:sz w:val="24"/>
          <w:szCs w:val="24"/>
          <w:lang w:val="en-US" w:eastAsia="zh-CN" w:bidi="ar-SA"/>
        </w:rPr>
        <w:t xml:space="preserve"> ----------------------------------------------------------------------29                                        </w:t>
      </w:r>
    </w:p>
    <w:p>
      <w:pPr>
        <w:pStyle w:val="11"/>
        <w:adjustRightInd w:val="0"/>
        <w:snapToGrid w:val="0"/>
        <w:spacing w:line="440" w:lineRule="exact"/>
        <w:ind w:left="420"/>
        <w:jc w:val="left"/>
        <w:rPr>
          <w:rFonts w:ascii="仿宋" w:eastAsia="仿宋" w:cs="Arial"/>
          <w:sz w:val="24"/>
        </w:rPr>
      </w:pPr>
      <w:r>
        <w:rPr>
          <w:rFonts w:hint="eastAsia" w:ascii="仿宋" w:eastAsia="仿宋"/>
          <w:sz w:val="24"/>
        </w:rPr>
        <w:t>一、</w:t>
      </w:r>
      <w:r>
        <w:rPr>
          <w:rFonts w:hint="eastAsia"/>
          <w:sz w:val="24"/>
        </w:rPr>
        <w:t>收入支出决算总表</w:t>
      </w:r>
    </w:p>
    <w:p>
      <w:pPr>
        <w:pStyle w:val="11"/>
        <w:adjustRightInd w:val="0"/>
        <w:snapToGrid w:val="0"/>
        <w:spacing w:line="440" w:lineRule="exact"/>
        <w:ind w:left="420"/>
        <w:jc w:val="left"/>
        <w:rPr>
          <w:rFonts w:ascii="宋体" w:cs="宋体"/>
          <w:sz w:val="24"/>
        </w:rPr>
      </w:pPr>
      <w:r>
        <w:rPr>
          <w:rFonts w:hint="eastAsia" w:ascii="宋体" w:cs="宋体"/>
          <w:sz w:val="24"/>
        </w:rPr>
        <w:t>二、收入决算表</w:t>
      </w:r>
    </w:p>
    <w:p>
      <w:pPr>
        <w:pStyle w:val="11"/>
        <w:adjustRightInd w:val="0"/>
        <w:snapToGrid w:val="0"/>
        <w:spacing w:line="440" w:lineRule="exact"/>
        <w:ind w:left="420"/>
        <w:jc w:val="left"/>
        <w:rPr>
          <w:rFonts w:ascii="宋体" w:cs="宋体"/>
          <w:sz w:val="24"/>
        </w:rPr>
      </w:pPr>
      <w:r>
        <w:rPr>
          <w:rFonts w:hint="eastAsia" w:ascii="宋体" w:cs="宋体"/>
          <w:sz w:val="24"/>
        </w:rPr>
        <w:t>三、支出决算表</w:t>
      </w:r>
    </w:p>
    <w:p>
      <w:pPr>
        <w:pStyle w:val="11"/>
        <w:adjustRightInd w:val="0"/>
        <w:snapToGrid w:val="0"/>
        <w:spacing w:line="440" w:lineRule="exact"/>
        <w:ind w:left="420"/>
        <w:jc w:val="left"/>
        <w:rPr>
          <w:rFonts w:ascii="宋体" w:cs="宋体"/>
          <w:sz w:val="24"/>
        </w:rPr>
      </w:pPr>
      <w:r>
        <w:rPr>
          <w:rFonts w:hint="eastAsia" w:ascii="宋体" w:cs="宋体"/>
          <w:sz w:val="24"/>
        </w:rPr>
        <w:t>四、财政拨款收入支出决算总表</w:t>
      </w:r>
    </w:p>
    <w:p>
      <w:pPr>
        <w:pStyle w:val="11"/>
        <w:adjustRightInd w:val="0"/>
        <w:snapToGrid w:val="0"/>
        <w:spacing w:line="440" w:lineRule="exact"/>
        <w:ind w:left="420"/>
        <w:jc w:val="left"/>
        <w:rPr>
          <w:rFonts w:ascii="宋体" w:cs="宋体"/>
          <w:sz w:val="24"/>
        </w:rPr>
      </w:pPr>
      <w:r>
        <w:rPr>
          <w:rFonts w:hint="eastAsia" w:ascii="宋体" w:cs="宋体"/>
          <w:sz w:val="24"/>
        </w:rPr>
        <w:t>五、财政拨款支出决算明细表</w:t>
      </w:r>
    </w:p>
    <w:p>
      <w:pPr>
        <w:pStyle w:val="11"/>
        <w:adjustRightInd w:val="0"/>
        <w:snapToGrid w:val="0"/>
        <w:spacing w:line="440" w:lineRule="exact"/>
        <w:ind w:left="420"/>
        <w:jc w:val="left"/>
        <w:rPr>
          <w:rFonts w:ascii="宋体" w:cs="宋体"/>
          <w:sz w:val="24"/>
        </w:rPr>
      </w:pPr>
      <w:r>
        <w:rPr>
          <w:rFonts w:hint="eastAsia" w:ascii="宋体" w:cs="宋体"/>
          <w:sz w:val="24"/>
        </w:rPr>
        <w:t>六、一般公共预算财政拨款支出决算表</w:t>
      </w:r>
    </w:p>
    <w:p>
      <w:pPr>
        <w:pStyle w:val="11"/>
        <w:adjustRightInd w:val="0"/>
        <w:snapToGrid w:val="0"/>
        <w:spacing w:line="440" w:lineRule="exact"/>
        <w:ind w:left="420"/>
        <w:jc w:val="left"/>
        <w:rPr>
          <w:rFonts w:ascii="宋体" w:cs="宋体"/>
          <w:sz w:val="24"/>
        </w:rPr>
      </w:pPr>
      <w:r>
        <w:rPr>
          <w:rFonts w:hint="eastAsia" w:ascii="宋体" w:cs="宋体"/>
          <w:sz w:val="24"/>
        </w:rPr>
        <w:t>七、一般公共预算财政拨款支出决算明细表</w:t>
      </w:r>
    </w:p>
    <w:p>
      <w:pPr>
        <w:pStyle w:val="11"/>
        <w:adjustRightInd w:val="0"/>
        <w:snapToGrid w:val="0"/>
        <w:spacing w:line="440" w:lineRule="exact"/>
        <w:ind w:left="420"/>
        <w:jc w:val="left"/>
        <w:rPr>
          <w:rFonts w:ascii="宋体" w:cs="宋体"/>
          <w:sz w:val="24"/>
        </w:rPr>
      </w:pPr>
      <w:r>
        <w:rPr>
          <w:rFonts w:hint="eastAsia" w:ascii="宋体" w:cs="宋体"/>
          <w:sz w:val="24"/>
        </w:rPr>
        <w:t>八、一般公共预算财政拨款基本支出决算表</w:t>
      </w:r>
    </w:p>
    <w:p>
      <w:pPr>
        <w:pStyle w:val="11"/>
        <w:adjustRightInd w:val="0"/>
        <w:snapToGrid w:val="0"/>
        <w:spacing w:line="440" w:lineRule="exact"/>
        <w:ind w:left="420"/>
        <w:jc w:val="left"/>
        <w:rPr>
          <w:rFonts w:ascii="宋体" w:cs="宋体"/>
          <w:sz w:val="24"/>
        </w:rPr>
      </w:pPr>
      <w:r>
        <w:rPr>
          <w:rFonts w:hint="eastAsia" w:ascii="宋体" w:cs="宋体"/>
          <w:sz w:val="24"/>
        </w:rPr>
        <w:t>九、一般公共预算财政拨款项目支出决算表</w:t>
      </w:r>
    </w:p>
    <w:p>
      <w:pPr>
        <w:pStyle w:val="11"/>
        <w:adjustRightInd w:val="0"/>
        <w:snapToGrid w:val="0"/>
        <w:spacing w:line="440" w:lineRule="exact"/>
        <w:ind w:left="420"/>
        <w:jc w:val="left"/>
        <w:rPr>
          <w:rFonts w:ascii="宋体" w:cs="宋体"/>
          <w:sz w:val="24"/>
        </w:rPr>
      </w:pPr>
      <w:r>
        <w:rPr>
          <w:rFonts w:hint="eastAsia" w:ascii="宋体" w:cs="宋体"/>
          <w:sz w:val="24"/>
        </w:rPr>
        <w:t>十、一般公共预算财政拨款“三公”经费支出决算表</w:t>
      </w:r>
    </w:p>
    <w:p>
      <w:pPr>
        <w:pStyle w:val="11"/>
        <w:adjustRightInd w:val="0"/>
        <w:snapToGrid w:val="0"/>
        <w:spacing w:line="440" w:lineRule="exact"/>
        <w:ind w:left="420"/>
        <w:jc w:val="left"/>
        <w:rPr>
          <w:rFonts w:ascii="宋体" w:cs="宋体"/>
          <w:sz w:val="24"/>
        </w:rPr>
      </w:pPr>
      <w:r>
        <w:rPr>
          <w:rFonts w:hint="eastAsia" w:ascii="宋体" w:cs="宋体"/>
          <w:sz w:val="24"/>
        </w:rPr>
        <w:t>十一、政府性基金预算财政拨款收入支出决算表</w:t>
      </w:r>
    </w:p>
    <w:p>
      <w:pPr>
        <w:pStyle w:val="11"/>
        <w:adjustRightInd w:val="0"/>
        <w:snapToGrid w:val="0"/>
        <w:spacing w:line="440" w:lineRule="exact"/>
        <w:ind w:left="420"/>
        <w:jc w:val="left"/>
        <w:rPr>
          <w:rFonts w:ascii="宋体" w:cs="宋体"/>
          <w:sz w:val="24"/>
        </w:rPr>
      </w:pPr>
      <w:r>
        <w:rPr>
          <w:rFonts w:hint="eastAsia" w:ascii="宋体" w:cs="宋体"/>
          <w:sz w:val="24"/>
        </w:rPr>
        <w:t>十二、政府性基金预算财政拨款“三公”经费支出决算表</w:t>
      </w:r>
    </w:p>
    <w:p>
      <w:pPr>
        <w:pStyle w:val="11"/>
        <w:adjustRightInd w:val="0"/>
        <w:snapToGrid w:val="0"/>
        <w:spacing w:line="440" w:lineRule="exact"/>
        <w:ind w:left="420"/>
        <w:jc w:val="left"/>
        <w:rPr>
          <w:rFonts w:ascii="宋体" w:cs="宋体"/>
          <w:sz w:val="24"/>
        </w:rPr>
      </w:pPr>
      <w:r>
        <w:rPr>
          <w:rFonts w:hint="eastAsia" w:ascii="宋体" w:cs="宋体"/>
          <w:sz w:val="24"/>
        </w:rPr>
        <w:t>十三、国有资本经营预算财政拨款收入支出决算表</w:t>
      </w:r>
    </w:p>
    <w:p>
      <w:pPr>
        <w:pStyle w:val="11"/>
        <w:adjustRightInd w:val="0"/>
        <w:snapToGrid w:val="0"/>
        <w:spacing w:line="440" w:lineRule="exact"/>
        <w:ind w:left="420"/>
        <w:jc w:val="left"/>
        <w:rPr>
          <w:rFonts w:ascii="宋体" w:cs="宋体"/>
          <w:sz w:val="24"/>
        </w:rPr>
      </w:pPr>
      <w:r>
        <w:rPr>
          <w:rFonts w:hint="eastAsia" w:ascii="宋体" w:cs="宋体"/>
          <w:sz w:val="24"/>
        </w:rPr>
        <w:t>十四、国有资本经营预算财政拨款支出决算表</w:t>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2"/>
        <w:jc w:val="center"/>
        <w:rPr>
          <w:rStyle w:val="16"/>
          <w:rFonts w:ascii="黑体" w:eastAsia="黑体"/>
          <w:b/>
          <w:bCs w:val="0"/>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pageBreakBefore w:val="0"/>
        <w:widowControl w:val="0"/>
        <w:kinsoku/>
        <w:wordWrap/>
        <w:overflowPunct/>
        <w:topLinePunct w:val="0"/>
        <w:autoSpaceDE/>
        <w:autoSpaceDN/>
        <w:bidi w:val="0"/>
        <w:spacing w:line="576" w:lineRule="exact"/>
        <w:ind w:firstLine="640" w:firstLineChars="200"/>
        <w:textAlignment w:val="auto"/>
        <w:rPr>
          <w:rStyle w:val="26"/>
          <w:rFonts w:ascii="黑体" w:hAnsi="黑体" w:eastAsia="黑体"/>
          <w:b w:val="0"/>
          <w:bCs w:val="0"/>
        </w:rPr>
      </w:pPr>
      <w:bookmarkStart w:id="14" w:name="_Toc15377197"/>
      <w:bookmarkStart w:id="15" w:name="_Toc15396600"/>
      <w:bookmarkStart w:id="16" w:name="_Toc15377204"/>
      <w:bookmarkStart w:id="17" w:name="_Toc15396602"/>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pageBreakBefore w:val="0"/>
        <w:widowControl w:val="0"/>
        <w:kinsoku/>
        <w:wordWrap/>
        <w:overflowPunct/>
        <w:topLinePunct w:val="0"/>
        <w:autoSpaceDE/>
        <w:autoSpaceDN/>
        <w:bidi w:val="0"/>
        <w:adjustRightInd w:val="0"/>
        <w:snapToGrid w:val="0"/>
        <w:spacing w:before="93" w:line="576" w:lineRule="exact"/>
        <w:ind w:firstLine="642" w:firstLineChars="200"/>
        <w:textAlignment w:val="auto"/>
        <w:outlineLvl w:val="2"/>
        <w:rPr>
          <w:rFonts w:hAnsiTheme="majorEastAsia"/>
          <w:b/>
          <w:bCs/>
          <w:color w:val="000000"/>
          <w:sz w:val="32"/>
          <w:szCs w:val="32"/>
        </w:rPr>
      </w:pPr>
      <w:bookmarkStart w:id="18" w:name="_Toc15378445"/>
      <w:bookmarkStart w:id="19" w:name="_Toc15377198"/>
      <w:r>
        <w:rPr>
          <w:rFonts w:hint="eastAsia" w:hAnsiTheme="majorEastAsia"/>
          <w:b/>
          <w:bCs/>
          <w:color w:val="000000"/>
          <w:sz w:val="32"/>
          <w:szCs w:val="32"/>
        </w:rPr>
        <w:t>（一）主要职能</w:t>
      </w:r>
      <w:bookmarkEnd w:id="18"/>
      <w:bookmarkEnd w:id="19"/>
      <w:bookmarkStart w:id="20" w:name="_Toc15378446"/>
      <w:bookmarkStart w:id="21" w:name="_Toc15377199"/>
    </w:p>
    <w:p>
      <w:pPr>
        <w:pageBreakBefore w:val="0"/>
        <w:widowControl w:val="0"/>
        <w:kinsoku/>
        <w:wordWrap/>
        <w:overflowPunct/>
        <w:topLinePunct w:val="0"/>
        <w:autoSpaceDE/>
        <w:autoSpaceDN/>
        <w:bidi w:val="0"/>
        <w:snapToGrid w:val="0"/>
        <w:spacing w:line="576" w:lineRule="exact"/>
        <w:ind w:firstLine="640" w:firstLineChars="200"/>
        <w:textAlignment w:val="auto"/>
        <w:rPr>
          <w:rFonts w:ascii="仿宋_GB2312" w:eastAsia="仿宋_GB2312" w:hAnsiTheme="majorEastAsia"/>
          <w:sz w:val="32"/>
          <w:szCs w:val="32"/>
        </w:rPr>
      </w:pPr>
      <w:r>
        <w:rPr>
          <w:rFonts w:hint="eastAsia" w:ascii="仿宋_GB2312" w:eastAsia="仿宋_GB2312" w:hAnsiTheme="majorEastAsia"/>
          <w:sz w:val="32"/>
          <w:szCs w:val="32"/>
        </w:rPr>
        <w:t>阿坝州红十字会是中华人民共和国统一的红十字组织，是从事人道主义工作的社会救助团体。阿坝州红十字会遵守宪法和法律，按照《中国红十字会章程》独立自主地开展工作。</w:t>
      </w:r>
    </w:p>
    <w:p>
      <w:pPr>
        <w:pStyle w:val="5"/>
        <w:pageBreakBefore w:val="0"/>
        <w:widowControl w:val="0"/>
        <w:kinsoku/>
        <w:wordWrap/>
        <w:overflowPunct/>
        <w:topLinePunct w:val="0"/>
        <w:autoSpaceDE/>
        <w:autoSpaceDN/>
        <w:bidi w:val="0"/>
        <w:adjustRightInd w:val="0"/>
        <w:snapToGrid w:val="0"/>
        <w:spacing w:before="93" w:line="576" w:lineRule="exact"/>
        <w:ind w:firstLine="674" w:firstLineChars="210"/>
        <w:textAlignment w:val="auto"/>
        <w:outlineLvl w:val="2"/>
        <w:rPr>
          <w:rFonts w:hAnsiTheme="majorEastAsia"/>
          <w:b/>
          <w:bCs/>
          <w:color w:val="000000"/>
          <w:sz w:val="32"/>
          <w:szCs w:val="32"/>
        </w:rPr>
      </w:pPr>
      <w:r>
        <w:rPr>
          <w:rFonts w:hint="eastAsia" w:hAnsiTheme="majorEastAsia"/>
          <w:b/>
          <w:bCs/>
          <w:color w:val="000000"/>
          <w:sz w:val="32"/>
          <w:szCs w:val="32"/>
        </w:rPr>
        <w:t>（二）20</w:t>
      </w:r>
      <w:r>
        <w:rPr>
          <w:rFonts w:hint="eastAsia" w:hAnsiTheme="majorEastAsia"/>
          <w:b/>
          <w:bCs/>
          <w:color w:val="000000"/>
          <w:sz w:val="32"/>
          <w:szCs w:val="32"/>
          <w:lang w:val="en-US" w:eastAsia="zh-CN"/>
        </w:rPr>
        <w:t>22</w:t>
      </w:r>
      <w:r>
        <w:rPr>
          <w:rFonts w:hint="eastAsia" w:hAnsiTheme="majorEastAsia"/>
          <w:b/>
          <w:bCs/>
          <w:color w:val="000000"/>
          <w:sz w:val="32"/>
          <w:szCs w:val="32"/>
        </w:rPr>
        <w:t>年重点工作完成情况</w:t>
      </w:r>
      <w:bookmarkEnd w:id="20"/>
      <w:bookmarkEnd w:id="21"/>
    </w:p>
    <w:p>
      <w:pPr>
        <w:pageBreakBefore w:val="0"/>
        <w:widowControl w:val="0"/>
        <w:kinsoku/>
        <w:wordWrap/>
        <w:overflowPunct/>
        <w:topLinePunct w:val="0"/>
        <w:autoSpaceDE/>
        <w:autoSpaceDN/>
        <w:bidi w:val="0"/>
        <w:snapToGrid w:val="0"/>
        <w:spacing w:line="576" w:lineRule="exact"/>
        <w:ind w:firstLine="640" w:firstLineChars="200"/>
        <w:textAlignment w:val="auto"/>
        <w:rPr>
          <w:rFonts w:ascii="仿宋_GB2312" w:eastAsia="仿宋_GB2312" w:hAnsiTheme="majorEastAsia"/>
          <w:sz w:val="32"/>
          <w:szCs w:val="32"/>
        </w:rPr>
      </w:pPr>
      <w:r>
        <w:rPr>
          <w:rFonts w:hint="eastAsia" w:ascii="仿宋_GB2312" w:eastAsia="仿宋_GB2312" w:hAnsiTheme="majorEastAsia"/>
          <w:sz w:val="32"/>
          <w:szCs w:val="32"/>
        </w:rPr>
        <w:t>20</w:t>
      </w:r>
      <w:r>
        <w:rPr>
          <w:rFonts w:hint="eastAsia" w:ascii="仿宋_GB2312" w:eastAsia="仿宋_GB2312" w:hAnsiTheme="majorEastAsia"/>
          <w:sz w:val="32"/>
          <w:szCs w:val="32"/>
          <w:lang w:val="en-US" w:eastAsia="zh-CN"/>
        </w:rPr>
        <w:t>22</w:t>
      </w:r>
      <w:r>
        <w:rPr>
          <w:rFonts w:hint="eastAsia" w:ascii="仿宋_GB2312" w:eastAsia="仿宋_GB2312" w:hAnsiTheme="majorEastAsia"/>
          <w:sz w:val="32"/>
          <w:szCs w:val="32"/>
        </w:rPr>
        <w:t>年，我会在州委、州政府的坚强领导下，在省红十字会的正确指导下依法履行红十字会各项职责,在灾难救援、人道救助、应急救护、“三献”宣传动员、组织建设等工作中取得了较大的成绩。</w:t>
      </w:r>
      <w:r>
        <w:rPr>
          <w:rFonts w:hint="eastAsia" w:ascii="仿宋_GB2312" w:eastAsia="仿宋_GB2312" w:hAnsiTheme="majorEastAsia"/>
          <w:sz w:val="32"/>
          <w:szCs w:val="32"/>
        </w:rPr>
        <w:tab/>
      </w:r>
      <w:r>
        <w:rPr>
          <w:rFonts w:hint="eastAsia" w:ascii="仿宋_GB2312" w:eastAsia="仿宋_GB2312" w:hAnsiTheme="majorEastAsia"/>
          <w:sz w:val="32"/>
          <w:szCs w:val="32"/>
        </w:rPr>
        <w:tab/>
      </w:r>
      <w:r>
        <w:rPr>
          <w:rFonts w:hint="eastAsia" w:ascii="仿宋_GB2312" w:eastAsia="仿宋_GB2312" w:hAnsiTheme="majorEastAsia"/>
          <w:sz w:val="32"/>
          <w:szCs w:val="32"/>
        </w:rPr>
        <w:tab/>
      </w:r>
      <w:r>
        <w:rPr>
          <w:rFonts w:hint="eastAsia" w:ascii="仿宋_GB2312" w:eastAsia="仿宋_GB2312" w:hAnsiTheme="majorEastAsia"/>
          <w:sz w:val="32"/>
          <w:szCs w:val="32"/>
        </w:rPr>
        <w:tab/>
      </w:r>
      <w:r>
        <w:rPr>
          <w:rFonts w:hint="eastAsia" w:ascii="仿宋_GB2312" w:eastAsia="仿宋_GB2312" w:hAnsiTheme="majorEastAsia"/>
          <w:sz w:val="32"/>
          <w:szCs w:val="32"/>
        </w:rPr>
        <w:tab/>
      </w:r>
      <w:r>
        <w:rPr>
          <w:rFonts w:hint="eastAsia" w:ascii="仿宋_GB2312" w:eastAsia="仿宋_GB2312" w:hAnsiTheme="majorEastAsia"/>
          <w:sz w:val="32"/>
          <w:szCs w:val="32"/>
        </w:rPr>
        <w:tab/>
      </w:r>
    </w:p>
    <w:p>
      <w:pPr>
        <w:pStyle w:val="3"/>
        <w:pageBreakBefore w:val="0"/>
        <w:widowControl w:val="0"/>
        <w:numPr>
          <w:ilvl w:val="0"/>
          <w:numId w:val="1"/>
        </w:numPr>
        <w:kinsoku/>
        <w:wordWrap/>
        <w:overflowPunct/>
        <w:topLinePunct w:val="0"/>
        <w:autoSpaceDE/>
        <w:autoSpaceDN/>
        <w:bidi w:val="0"/>
        <w:spacing w:line="576" w:lineRule="exact"/>
        <w:textAlignment w:val="auto"/>
        <w:rPr>
          <w:rStyle w:val="26"/>
          <w:b w:val="0"/>
          <w:bCs w:val="0"/>
        </w:rPr>
      </w:pPr>
      <w:bookmarkStart w:id="22" w:name="_Toc15377200"/>
      <w:bookmarkStart w:id="23" w:name="_Toc15396601"/>
      <w:r>
        <w:rPr>
          <w:rFonts w:hint="eastAsia" w:ascii="黑体" w:hAnsi="黑体" w:eastAsia="黑体"/>
          <w:b w:val="0"/>
          <w:color w:val="000000"/>
        </w:rPr>
        <w:t>机</w:t>
      </w:r>
      <w:r>
        <w:rPr>
          <w:rStyle w:val="26"/>
          <w:rFonts w:hint="eastAsia" w:ascii="黑体" w:hAnsi="黑体" w:eastAsia="黑体"/>
          <w:b w:val="0"/>
          <w:bCs w:val="0"/>
        </w:rPr>
        <w:t>构设置</w:t>
      </w:r>
      <w:bookmarkEnd w:id="22"/>
      <w:bookmarkEnd w:id="23"/>
      <w:bookmarkStart w:id="24" w:name="_Toc15377434"/>
      <w:bookmarkStart w:id="25" w:name="_Toc15377203"/>
      <w:bookmarkStart w:id="26" w:name="_Toc15378450"/>
      <w:bookmarkStart w:id="27" w:name="_Toc15306277"/>
    </w:p>
    <w:p>
      <w:pPr>
        <w:pStyle w:val="5"/>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AnsiTheme="majorEastAsia"/>
          <w:kern w:val="2"/>
          <w:sz w:val="32"/>
          <w:szCs w:val="32"/>
        </w:rPr>
      </w:pPr>
      <w:r>
        <w:rPr>
          <w:rFonts w:hint="eastAsia" w:hAnsiTheme="majorEastAsia"/>
          <w:kern w:val="2"/>
          <w:sz w:val="32"/>
          <w:szCs w:val="32"/>
        </w:rPr>
        <w:t>20</w:t>
      </w:r>
      <w:r>
        <w:rPr>
          <w:rFonts w:hint="eastAsia" w:hAnsiTheme="majorEastAsia"/>
          <w:kern w:val="2"/>
          <w:sz w:val="32"/>
          <w:szCs w:val="32"/>
          <w:lang w:val="en-US" w:eastAsia="zh-CN"/>
        </w:rPr>
        <w:t>22</w:t>
      </w:r>
      <w:r>
        <w:rPr>
          <w:rFonts w:hint="eastAsia" w:hAnsiTheme="majorEastAsia"/>
          <w:kern w:val="2"/>
          <w:sz w:val="32"/>
          <w:szCs w:val="32"/>
        </w:rPr>
        <w:t>年末共有机构数1个（参照公务员管理），为全额预算单位，其中内设机构4个，与去年相比没有数量变化。参公事业编制人数10人，年末在职人员</w:t>
      </w:r>
      <w:r>
        <w:rPr>
          <w:rFonts w:hint="eastAsia" w:hAnsiTheme="majorEastAsia"/>
          <w:kern w:val="2"/>
          <w:sz w:val="32"/>
          <w:szCs w:val="32"/>
          <w:lang w:val="en-US" w:eastAsia="zh-CN"/>
        </w:rPr>
        <w:t>10</w:t>
      </w:r>
      <w:r>
        <w:rPr>
          <w:rFonts w:hint="eastAsia" w:hAnsiTheme="majorEastAsia"/>
          <w:kern w:val="2"/>
          <w:sz w:val="32"/>
          <w:szCs w:val="32"/>
        </w:rPr>
        <w:t>人，与上年相比在职人员</w:t>
      </w:r>
      <w:r>
        <w:rPr>
          <w:rFonts w:hint="eastAsia" w:hAnsiTheme="majorEastAsia"/>
          <w:kern w:val="2"/>
          <w:sz w:val="32"/>
          <w:szCs w:val="32"/>
          <w:lang w:val="en-US" w:eastAsia="zh-CN"/>
        </w:rPr>
        <w:t>无变化</w:t>
      </w:r>
      <w:r>
        <w:rPr>
          <w:rFonts w:hint="eastAsia" w:hAnsiTheme="majorEastAsia"/>
          <w:kern w:val="2"/>
          <w:sz w:val="32"/>
          <w:szCs w:val="32"/>
        </w:rPr>
        <w:t>。</w:t>
      </w:r>
      <w:bookmarkEnd w:id="24"/>
      <w:bookmarkEnd w:id="25"/>
      <w:bookmarkEnd w:id="26"/>
      <w:bookmarkEnd w:id="27"/>
    </w:p>
    <w:p>
      <w:pPr>
        <w:widowControl/>
        <w:spacing w:line="576" w:lineRule="exact"/>
        <w:jc w:val="left"/>
        <w:rPr>
          <w:rFonts w:ascii="仿宋_GB2312" w:hAnsi="仿宋" w:eastAsia="仿宋_GB2312"/>
          <w:sz w:val="32"/>
          <w:szCs w:val="32"/>
        </w:rPr>
      </w:pPr>
      <w:r>
        <w:rPr>
          <w:rFonts w:hint="eastAsia" w:ascii="仿宋_GB2312" w:hAnsi="仿宋" w:eastAsia="仿宋_GB2312"/>
          <w:sz w:val="32"/>
          <w:szCs w:val="32"/>
        </w:rPr>
        <w:br w:type="page"/>
      </w:r>
    </w:p>
    <w:p>
      <w:pPr>
        <w:pStyle w:val="2"/>
        <w:ind w:right="440"/>
        <w:jc w:val="center"/>
        <w:rPr>
          <w:rStyle w:val="16"/>
          <w:rFonts w:ascii="黑体" w:eastAsia="黑体"/>
          <w:b w:val="0"/>
          <w:bCs/>
        </w:rPr>
      </w:pPr>
      <w:r>
        <w:rPr>
          <w:rFonts w:hint="eastAsia" w:ascii="黑体" w:eastAsia="黑体"/>
          <w:b w:val="0"/>
        </w:rPr>
        <w:t>第二部分 202</w:t>
      </w:r>
      <w:r>
        <w:rPr>
          <w:rFonts w:hint="eastAsia" w:ascii="黑体" w:eastAsia="黑体"/>
          <w:b w:val="0"/>
          <w:lang w:val="en-US" w:eastAsia="zh-CN"/>
        </w:rPr>
        <w:t>2</w:t>
      </w:r>
      <w:r>
        <w:rPr>
          <w:rFonts w:hint="eastAsia" w:ascii="黑体" w:eastAsia="黑体"/>
          <w:b w:val="0"/>
        </w:rPr>
        <w:t>年度</w:t>
      </w:r>
      <w:r>
        <w:rPr>
          <w:rStyle w:val="16"/>
          <w:rFonts w:hint="eastAsia" w:ascii="黑体" w:eastAsia="黑体"/>
          <w:b w:val="0"/>
          <w:bCs/>
        </w:rPr>
        <w:t>部门决算情况说明</w:t>
      </w:r>
      <w:bookmarkEnd w:id="16"/>
      <w:bookmarkEnd w:id="17"/>
    </w:p>
    <w:p/>
    <w:p>
      <w:pPr>
        <w:pStyle w:val="22"/>
        <w:numPr>
          <w:ilvl w:val="0"/>
          <w:numId w:val="2"/>
        </w:numPr>
        <w:spacing w:line="600" w:lineRule="exact"/>
        <w:ind w:firstLineChars="0"/>
        <w:outlineLvl w:val="1"/>
        <w:rPr>
          <w:rStyle w:val="26"/>
          <w:rFonts w:ascii="黑体" w:hAnsi="黑体" w:eastAsia="黑体"/>
          <w:b w:val="0"/>
        </w:rPr>
      </w:pPr>
      <w:bookmarkStart w:id="28" w:name="_Toc15396603"/>
      <w:bookmarkStart w:id="29" w:name="_Toc15377205"/>
      <w:bookmarkStart w:id="30" w:name="_Toc15377225"/>
      <w:bookmarkStart w:id="31" w:name="_Toc1539661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8"/>
      <w:bookmarkEnd w:id="29"/>
    </w:p>
    <w:p>
      <w:pPr>
        <w:snapToGrid w:val="0"/>
        <w:spacing w:line="576" w:lineRule="exact"/>
        <w:ind w:left="640"/>
        <w:rPr>
          <w:rFonts w:ascii="仿宋_GB2312" w:hAnsi="仿宋" w:eastAsia="仿宋_GB2312"/>
          <w:sz w:val="32"/>
          <w:szCs w:val="32"/>
        </w:rPr>
      </w:pPr>
      <w:r>
        <w:rPr>
          <w:rFonts w:hint="eastAsia" w:ascii="仿宋_GB2312" w:hAnsi="仿宋" w:eastAsia="仿宋_GB2312"/>
          <w:sz w:val="32"/>
          <w:szCs w:val="32"/>
        </w:rPr>
        <w:t>20</w:t>
      </w:r>
      <w:r>
        <w:rPr>
          <w:rFonts w:hint="eastAsia" w:ascii="仿宋_GB2312" w:hAnsi="仿宋" w:eastAsia="仿宋_GB2312"/>
          <w:sz w:val="32"/>
          <w:szCs w:val="32"/>
          <w:lang w:val="en-US" w:eastAsia="zh-CN"/>
        </w:rPr>
        <w:t>22</w:t>
      </w:r>
      <w:r>
        <w:rPr>
          <w:rFonts w:hint="eastAsia" w:ascii="仿宋_GB2312" w:hAnsi="仿宋" w:eastAsia="仿宋_GB2312"/>
          <w:sz w:val="32"/>
          <w:szCs w:val="32"/>
        </w:rPr>
        <w:t>年度收、支总计</w:t>
      </w:r>
      <w:r>
        <w:rPr>
          <w:rFonts w:hint="eastAsia" w:ascii="仿宋_GB2312" w:hAnsi="仿宋" w:eastAsia="仿宋_GB2312"/>
          <w:sz w:val="32"/>
          <w:szCs w:val="32"/>
          <w:lang w:val="en-US" w:eastAsia="zh-CN"/>
        </w:rPr>
        <w:t>463.03万元，</w:t>
      </w:r>
      <w:bookmarkStart w:id="32" w:name="_Toc15377206"/>
      <w:bookmarkStart w:id="33" w:name="_Toc15396604"/>
      <w:r>
        <w:rPr>
          <w:rFonts w:hint="eastAsia" w:ascii="仿宋_GB2312" w:hAnsi="仿宋" w:eastAsia="仿宋_GB2312"/>
          <w:sz w:val="32"/>
          <w:szCs w:val="32"/>
        </w:rPr>
        <w:t>与20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年相比</w:t>
      </w:r>
      <w:r>
        <w:rPr>
          <w:rFonts w:hint="eastAsia" w:ascii="仿宋_GB2312" w:hAnsi="仿宋" w:eastAsia="仿宋_GB2312"/>
          <w:sz w:val="32"/>
          <w:szCs w:val="32"/>
          <w:lang w:val="en-US" w:eastAsia="zh-CN"/>
        </w:rPr>
        <w:t>增加4.09</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增加0.9</w:t>
      </w:r>
      <w:r>
        <w:rPr>
          <w:rFonts w:hint="eastAsia" w:ascii="仿宋_GB2312" w:hAnsi="仿宋" w:eastAsia="仿宋_GB2312"/>
          <w:sz w:val="32"/>
          <w:szCs w:val="32"/>
        </w:rPr>
        <w:t>%。主要变动原因是</w:t>
      </w:r>
      <w:r>
        <w:rPr>
          <w:rFonts w:hint="eastAsia" w:ascii="仿宋_GB2312" w:hAnsi="仿宋" w:eastAsia="仿宋_GB2312"/>
          <w:sz w:val="32"/>
          <w:szCs w:val="32"/>
          <w:lang w:val="en-US" w:eastAsia="zh-CN"/>
        </w:rPr>
        <w:t>较上年基本支出增加</w:t>
      </w:r>
      <w:r>
        <w:rPr>
          <w:rFonts w:hint="eastAsia" w:ascii="仿宋_GB2312" w:hAnsi="仿宋" w:eastAsia="仿宋_GB2312"/>
          <w:sz w:val="32"/>
          <w:szCs w:val="32"/>
        </w:rPr>
        <w:t>。</w:t>
      </w:r>
    </w:p>
    <w:p>
      <w:pPr>
        <w:snapToGrid w:val="0"/>
        <w:spacing w:line="576" w:lineRule="exact"/>
        <w:rPr>
          <w:rStyle w:val="26"/>
          <w:rFonts w:ascii="仿宋_GB2312" w:hAnsi="仿宋" w:eastAsia="仿宋_GB2312" w:cs="Times New Roman"/>
          <w:b w:val="0"/>
          <w:bCs w:val="0"/>
        </w:rPr>
      </w:pPr>
      <w:r>
        <w:rPr>
          <w:rFonts w:hint="eastAsia" w:ascii="仿宋_GB2312" w:hAnsi="仿宋" w:eastAsia="仿宋_GB2312"/>
          <w:sz w:val="32"/>
          <w:szCs w:val="32"/>
        </w:rPr>
        <w:t>图1：收、支决算总计变动情况图</w:t>
      </w:r>
    </w:p>
    <w:p>
      <w:pPr>
        <w:snapToGrid w:val="0"/>
        <w:spacing w:line="576" w:lineRule="exact"/>
        <w:ind w:firstLine="642" w:firstLineChars="200"/>
        <w:rPr>
          <w:rStyle w:val="26"/>
          <w:rFonts w:ascii="黑体" w:hAnsi="黑体" w:eastAsia="黑体"/>
          <w:b w:val="0"/>
        </w:rPr>
      </w:pPr>
      <w:r>
        <w:rPr>
          <w:rStyle w:val="26"/>
          <w:rFonts w:hint="eastAsia" w:ascii="黑体" w:hAnsi="黑体" w:eastAsia="黑体"/>
        </w:rPr>
        <w:drawing>
          <wp:anchor distT="0" distB="0" distL="114300" distR="114300" simplePos="0" relativeHeight="251659264" behindDoc="0" locked="0" layoutInCell="1" allowOverlap="1">
            <wp:simplePos x="0" y="0"/>
            <wp:positionH relativeFrom="column">
              <wp:posOffset>114300</wp:posOffset>
            </wp:positionH>
            <wp:positionV relativeFrom="paragraph">
              <wp:posOffset>153670</wp:posOffset>
            </wp:positionV>
            <wp:extent cx="5105400" cy="2505075"/>
            <wp:effectExtent l="4445" t="4445" r="14605" b="5080"/>
            <wp:wrapSquare wrapText="bothSides"/>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End w:id="32"/>
      <w:bookmarkEnd w:id="33"/>
    </w:p>
    <w:p>
      <w:pPr>
        <w:spacing w:line="600" w:lineRule="exact"/>
        <w:ind w:firstLine="642" w:firstLineChars="200"/>
        <w:outlineLvl w:val="1"/>
        <w:rPr>
          <w:rFonts w:ascii="仿宋" w:hAnsi="仿宋" w:eastAsia="仿宋"/>
          <w:color w:val="000000"/>
          <w:sz w:val="32"/>
          <w:szCs w:val="32"/>
        </w:rPr>
      </w:pPr>
      <w:r>
        <w:rPr>
          <w:rStyle w:val="26"/>
          <w:rFonts w:hint="eastAsia" w:ascii="黑体" w:hAnsi="黑体" w:eastAsia="黑体"/>
        </w:rPr>
        <w:t>二、收</w:t>
      </w:r>
      <w:r>
        <w:rPr>
          <w:rStyle w:val="26"/>
          <w:rFonts w:hint="eastAsia" w:ascii="黑体" w:hAnsi="黑体" w:eastAsia="黑体"/>
          <w:b w:val="0"/>
        </w:rPr>
        <w:t>入决算情况说明</w:t>
      </w: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463.03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463.03</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266700</wp:posOffset>
            </wp:positionH>
            <wp:positionV relativeFrom="paragraph">
              <wp:posOffset>638175</wp:posOffset>
            </wp:positionV>
            <wp:extent cx="4950460" cy="2181225"/>
            <wp:effectExtent l="4445" t="4445" r="17145" b="508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14:textFill>
            <w14:solidFill>
              <w14:schemeClr w14:val="tx1"/>
            </w14:solidFill>
          </w14:textFill>
        </w:rPr>
        <w:t>图2：收入决算结构图</w:t>
      </w:r>
    </w:p>
    <w:p>
      <w:pPr>
        <w:spacing w:line="600" w:lineRule="exact"/>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34" w:name="_Toc15377207"/>
      <w:bookmarkStart w:id="35" w:name="_Toc15396605"/>
      <w:r>
        <w:rPr>
          <w:rStyle w:val="26"/>
          <w:rFonts w:ascii="黑体" w:hAnsi="黑体" w:eastAsia="黑体"/>
          <w:b w:val="0"/>
        </w:rPr>
        <w:t>三</w:t>
      </w:r>
      <w:r>
        <w:rPr>
          <w:rStyle w:val="26"/>
          <w:rFonts w:hint="eastAsia" w:ascii="黑体" w:hAnsi="黑体" w:eastAsia="黑体"/>
          <w:b w:val="0"/>
        </w:rPr>
        <w:t>、</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34"/>
      <w:bookmarkEnd w:id="35"/>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463.03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324.35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70.05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138.68</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29.95</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314325</wp:posOffset>
            </wp:positionH>
            <wp:positionV relativeFrom="paragraph">
              <wp:posOffset>647700</wp:posOffset>
            </wp:positionV>
            <wp:extent cx="4912360" cy="2305050"/>
            <wp:effectExtent l="4445" t="4445" r="17145" b="1460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36" w:name="_Toc15377208"/>
      <w:bookmarkStart w:id="37"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6"/>
      <w:bookmarkEnd w:id="37"/>
    </w:p>
    <w:p>
      <w:pPr>
        <w:snapToGrid w:val="0"/>
        <w:spacing w:line="576" w:lineRule="exact"/>
        <w:ind w:left="640"/>
        <w:rPr>
          <w:rFonts w:ascii="仿宋_GB2312" w:hAnsi="仿宋" w:eastAsia="仿宋_GB2312"/>
          <w:sz w:val="32"/>
          <w:szCs w:val="32"/>
        </w:rPr>
      </w:pPr>
      <w:r>
        <w:rPr>
          <w:rFonts w:hint="eastAsia" w:ascii="仿宋_GB2312" w:hAnsi="仿宋" w:eastAsia="仿宋_GB2312"/>
          <w:sz w:val="32"/>
          <w:szCs w:val="32"/>
        </w:rPr>
        <w:t>20</w:t>
      </w:r>
      <w:r>
        <w:rPr>
          <w:rFonts w:hint="eastAsia" w:ascii="仿宋_GB2312" w:hAnsi="仿宋" w:eastAsia="仿宋_GB2312"/>
          <w:sz w:val="32"/>
          <w:szCs w:val="32"/>
          <w:lang w:val="en-US" w:eastAsia="zh-CN"/>
        </w:rPr>
        <w:t>22</w:t>
      </w:r>
      <w:r>
        <w:rPr>
          <w:rFonts w:hint="eastAsia" w:ascii="仿宋_GB2312" w:hAnsi="仿宋" w:eastAsia="仿宋_GB2312"/>
          <w:sz w:val="32"/>
          <w:szCs w:val="32"/>
        </w:rPr>
        <w:t>年度收、支总计</w:t>
      </w:r>
      <w:r>
        <w:rPr>
          <w:rFonts w:hint="eastAsia" w:ascii="仿宋_GB2312" w:hAnsi="仿宋" w:eastAsia="仿宋_GB2312"/>
          <w:sz w:val="32"/>
          <w:szCs w:val="32"/>
          <w:lang w:val="en-US" w:eastAsia="zh-CN"/>
        </w:rPr>
        <w:t>463.03万元，</w:t>
      </w:r>
      <w:r>
        <w:rPr>
          <w:rFonts w:hint="eastAsia" w:ascii="仿宋_GB2312" w:hAnsi="仿宋" w:eastAsia="仿宋_GB2312"/>
          <w:sz w:val="32"/>
          <w:szCs w:val="32"/>
        </w:rPr>
        <w:t>与20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年相比</w:t>
      </w:r>
      <w:r>
        <w:rPr>
          <w:rFonts w:hint="eastAsia" w:ascii="仿宋_GB2312" w:hAnsi="仿宋" w:eastAsia="仿宋_GB2312"/>
          <w:sz w:val="32"/>
          <w:szCs w:val="32"/>
          <w:lang w:val="en-US" w:eastAsia="zh-CN"/>
        </w:rPr>
        <w:t>增加4.09</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增加0.9</w:t>
      </w:r>
      <w:r>
        <w:rPr>
          <w:rFonts w:hint="eastAsia" w:ascii="仿宋_GB2312" w:hAnsi="仿宋" w:eastAsia="仿宋_GB2312"/>
          <w:sz w:val="32"/>
          <w:szCs w:val="32"/>
        </w:rPr>
        <w:t>%。主要变动原因是</w:t>
      </w:r>
      <w:r>
        <w:rPr>
          <w:rFonts w:hint="eastAsia" w:ascii="仿宋_GB2312" w:hAnsi="仿宋" w:eastAsia="仿宋_GB2312"/>
          <w:sz w:val="32"/>
          <w:szCs w:val="32"/>
          <w:lang w:val="en-US" w:eastAsia="zh-CN"/>
        </w:rPr>
        <w:t>较上年基本支出增加</w:t>
      </w:r>
      <w:r>
        <w:rPr>
          <w:rFonts w:hint="eastAsia" w:ascii="仿宋_GB2312" w:hAnsi="仿宋" w:eastAsia="仿宋_GB2312"/>
          <w:sz w:val="32"/>
          <w:szCs w:val="32"/>
        </w:rPr>
        <w:t>。</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0</wp:posOffset>
            </wp:positionH>
            <wp:positionV relativeFrom="paragraph">
              <wp:posOffset>541020</wp:posOffset>
            </wp:positionV>
            <wp:extent cx="5105400" cy="1914525"/>
            <wp:effectExtent l="4445" t="4445" r="14605" b="5080"/>
            <wp:wrapSquare wrapText="bothSides"/>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themeColor="text1"/>
          <w:sz w:val="32"/>
          <w:szCs w:val="32"/>
          <w14:textFill>
            <w14:solidFill>
              <w14:schemeClr w14:val="tx1"/>
            </w14:solidFill>
          </w14:textFill>
        </w:rPr>
        <w:t>图4：财政拨款收、支决算总计变动情况</w:t>
      </w:r>
      <w:bookmarkStart w:id="38" w:name="_Toc15377209"/>
      <w:bookmarkStart w:id="39" w:name="_Toc15396607"/>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8"/>
      <w:bookmarkEnd w:id="39"/>
    </w:p>
    <w:p>
      <w:pPr>
        <w:spacing w:line="600" w:lineRule="exact"/>
        <w:ind w:firstLine="642" w:firstLineChars="200"/>
        <w:outlineLvl w:val="2"/>
        <w:rPr>
          <w:rFonts w:ascii="仿宋" w:hAnsi="仿宋" w:eastAsia="仿宋"/>
          <w:b/>
          <w:color w:val="000000"/>
          <w:sz w:val="32"/>
          <w:szCs w:val="32"/>
        </w:rPr>
      </w:pPr>
      <w:bookmarkStart w:id="40" w:name="_Toc15377210"/>
      <w:r>
        <w:rPr>
          <w:rFonts w:hint="eastAsia" w:ascii="仿宋" w:hAnsi="仿宋" w:eastAsia="仿宋"/>
          <w:b/>
          <w:color w:val="000000"/>
          <w:sz w:val="32"/>
          <w:szCs w:val="32"/>
        </w:rPr>
        <w:t>（一）一般公共预算财政拨款支出决算总体情况</w:t>
      </w:r>
      <w:bookmarkEnd w:id="40"/>
    </w:p>
    <w:p>
      <w:pPr>
        <w:snapToGrid w:val="0"/>
        <w:spacing w:line="576" w:lineRule="exact"/>
        <w:ind w:firstLine="640" w:firstLineChars="200"/>
        <w:rPr>
          <w:rFonts w:ascii="仿宋_GB2312" w:hAnsi="仿宋" w:eastAsia="仿宋_GB2312"/>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463.03</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年相比，一般公共预算财政拨款</w:t>
      </w:r>
      <w:r>
        <w:rPr>
          <w:rFonts w:hint="eastAsia" w:ascii="仿宋_GB2312" w:hAnsi="仿宋" w:eastAsia="仿宋_GB2312"/>
          <w:sz w:val="32"/>
          <w:szCs w:val="32"/>
          <w:lang w:val="en-US" w:eastAsia="zh-CN"/>
        </w:rPr>
        <w:t>增加4.09</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增加0.9</w:t>
      </w:r>
      <w:r>
        <w:rPr>
          <w:rFonts w:hint="eastAsia" w:ascii="仿宋_GB2312" w:hAnsi="仿宋" w:eastAsia="仿宋_GB2312"/>
          <w:sz w:val="32"/>
          <w:szCs w:val="32"/>
        </w:rPr>
        <w:t>%</w:t>
      </w:r>
      <w:r>
        <w:rPr>
          <w:rFonts w:hint="eastAsia" w:ascii="仿宋" w:hAnsi="仿宋" w:eastAsia="仿宋"/>
          <w:color w:val="000000"/>
          <w:sz w:val="32"/>
          <w:szCs w:val="32"/>
        </w:rPr>
        <w:t>。</w:t>
      </w:r>
      <w:r>
        <w:rPr>
          <w:rFonts w:hint="eastAsia" w:ascii="仿宋_GB2312" w:hAnsi="仿宋" w:eastAsia="仿宋_GB2312"/>
          <w:sz w:val="32"/>
          <w:szCs w:val="32"/>
        </w:rPr>
        <w:t>主要变动原因是</w:t>
      </w:r>
      <w:r>
        <w:rPr>
          <w:rFonts w:hint="eastAsia" w:ascii="仿宋_GB2312" w:hAnsi="仿宋" w:eastAsia="仿宋_GB2312"/>
          <w:sz w:val="32"/>
          <w:szCs w:val="32"/>
          <w:lang w:val="en-US" w:eastAsia="zh-CN"/>
        </w:rPr>
        <w:t>较上年基本支出增加</w:t>
      </w:r>
      <w:r>
        <w:rPr>
          <w:rFonts w:hint="eastAsia" w:ascii="仿宋_GB2312" w:hAnsi="仿宋" w:eastAsia="仿宋_GB2312"/>
          <w:sz w:val="32"/>
          <w:szCs w:val="32"/>
        </w:rPr>
        <w:t>。</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104775</wp:posOffset>
            </wp:positionH>
            <wp:positionV relativeFrom="paragraph">
              <wp:posOffset>537210</wp:posOffset>
            </wp:positionV>
            <wp:extent cx="5105400" cy="1924050"/>
            <wp:effectExtent l="4445" t="4445" r="14605" b="14605"/>
            <wp:wrapSquare wrapText="bothSides"/>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600" w:lineRule="exact"/>
        <w:ind w:firstLine="642" w:firstLineChars="200"/>
        <w:outlineLvl w:val="2"/>
        <w:rPr>
          <w:rFonts w:ascii="仿宋" w:hAnsi="仿宋" w:eastAsia="仿宋"/>
          <w:b/>
          <w:color w:val="000000"/>
          <w:sz w:val="32"/>
          <w:szCs w:val="32"/>
        </w:rPr>
      </w:pPr>
      <w:bookmarkStart w:id="41" w:name="_Toc15377211"/>
      <w:r>
        <w:rPr>
          <w:rFonts w:hint="eastAsia" w:ascii="仿宋" w:hAnsi="仿宋" w:eastAsia="仿宋"/>
          <w:b/>
          <w:color w:val="000000"/>
          <w:sz w:val="32"/>
          <w:szCs w:val="32"/>
        </w:rPr>
        <w:t>（二）一般公共预算财政拨款支出决算结构情况</w:t>
      </w:r>
      <w:bookmarkEnd w:id="41"/>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463.03</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一般公共服务支出</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科学技术支出</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文化旅游体育与传媒支出</w:t>
      </w:r>
      <w:r>
        <w:rPr>
          <w:rFonts w:hint="eastAsia" w:ascii="仿宋" w:hAnsi="仿宋" w:eastAsia="仿宋"/>
          <w:bCs/>
          <w:color w:val="000000" w:themeColor="text1"/>
          <w:sz w:val="32"/>
          <w:szCs w:val="32"/>
          <w14:textFill>
            <w14:solidFill>
              <w14:schemeClr w14:val="tx1"/>
            </w14:solidFill>
          </w14:textFill>
        </w:rPr>
        <w:t>0万元，占0</w:t>
      </w:r>
      <w:r>
        <w:rPr>
          <w:rFonts w:ascii="仿宋" w:hAnsi="仿宋" w:eastAsia="仿宋"/>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社会保障和就业支出</w:t>
      </w:r>
      <w:r>
        <w:rPr>
          <w:rFonts w:hint="eastAsia" w:ascii="仿宋" w:hAnsi="仿宋" w:eastAsia="仿宋"/>
          <w:color w:val="000000" w:themeColor="text1"/>
          <w:sz w:val="32"/>
          <w:szCs w:val="32"/>
          <w:lang w:val="en-US" w:eastAsia="zh-CN"/>
          <w14:textFill>
            <w14:solidFill>
              <w14:schemeClr w14:val="tx1"/>
            </w14:solidFill>
          </w14:textFill>
        </w:rPr>
        <w:t>432.46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93.4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13.04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17.53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276860</wp:posOffset>
            </wp:positionH>
            <wp:positionV relativeFrom="paragraph">
              <wp:posOffset>200025</wp:posOffset>
            </wp:positionV>
            <wp:extent cx="5067300" cy="2457450"/>
            <wp:effectExtent l="4445" t="4445" r="14605" b="1460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2" w:firstLineChars="200"/>
        <w:outlineLvl w:val="2"/>
        <w:rPr>
          <w:rFonts w:ascii="仿宋" w:hAnsi="仿宋" w:eastAsia="仿宋"/>
          <w:b/>
          <w:color w:val="000000"/>
          <w:sz w:val="32"/>
          <w:szCs w:val="32"/>
        </w:rPr>
      </w:pPr>
      <w:bookmarkStart w:id="42" w:name="_Toc15377212"/>
      <w:r>
        <w:rPr>
          <w:rFonts w:hint="eastAsia" w:ascii="仿宋" w:hAnsi="仿宋" w:eastAsia="仿宋"/>
          <w:b/>
          <w:color w:val="000000"/>
          <w:sz w:val="32"/>
          <w:szCs w:val="32"/>
        </w:rPr>
        <w:t>（三）一般公共预算财政拨款支出决算具体情况</w:t>
      </w:r>
      <w:bookmarkEnd w:id="42"/>
    </w:p>
    <w:p>
      <w:pPr>
        <w:spacing w:line="600" w:lineRule="exact"/>
        <w:ind w:firstLine="642" w:firstLineChars="200"/>
        <w:outlineLvl w:val="2"/>
        <w:rPr>
          <w:rFonts w:ascii="仿宋" w:hAnsi="仿宋" w:eastAsia="仿宋"/>
          <w:color w:val="FF0000"/>
          <w:sz w:val="32"/>
          <w:szCs w:val="32"/>
        </w:rPr>
      </w:pPr>
      <w:bookmarkStart w:id="43" w:name="_Toc15378460"/>
      <w:bookmarkStart w:id="44" w:name="_Toc15377444"/>
      <w:bookmarkStart w:id="45" w:name="_Toc15377213"/>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22</w:t>
      </w:r>
      <w:r>
        <w:rPr>
          <w:rFonts w:hint="eastAsia" w:ascii="仿宋" w:hAnsi="仿宋" w:eastAsia="仿宋"/>
          <w:b/>
          <w:color w:val="000000" w:themeColor="text1"/>
          <w:sz w:val="32"/>
          <w:szCs w:val="32"/>
          <w14:textFill>
            <w14:solidFill>
              <w14:schemeClr w14:val="tx1"/>
            </w14:solidFill>
          </w14:textFill>
        </w:rPr>
        <w:t>年一般公共预算支出决算数为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463.03</w:t>
      </w:r>
      <w:r>
        <w:rPr>
          <w:rFonts w:hint="eastAsia" w:ascii="仿宋" w:hAnsi="仿宋" w:eastAsia="仿宋"/>
          <w:b/>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43"/>
      <w:bookmarkEnd w:id="44"/>
      <w:bookmarkEnd w:id="45"/>
    </w:p>
    <w:p>
      <w:pPr>
        <w:spacing w:line="600" w:lineRule="exact"/>
        <w:ind w:firstLine="642" w:firstLineChars="200"/>
        <w:rPr>
          <w:rFonts w:ascii="仿宋" w:hAnsi="仿宋" w:eastAsia="仿宋"/>
          <w:b/>
          <w:color w:val="000000"/>
          <w:sz w:val="32"/>
          <w:szCs w:val="32"/>
        </w:rPr>
      </w:pPr>
      <w:r>
        <w:rPr>
          <w:rStyle w:val="14"/>
          <w:rFonts w:hint="eastAsia" w:ascii="仿宋" w:hAnsi="仿宋" w:eastAsia="仿宋"/>
          <w:bCs/>
          <w:color w:val="000000"/>
          <w:sz w:val="32"/>
          <w:szCs w:val="32"/>
        </w:rPr>
        <w:t>1</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社会保障和就业支出（208）行政</w:t>
      </w:r>
      <w:r>
        <w:rPr>
          <w:rStyle w:val="14"/>
          <w:rFonts w:ascii="仿宋" w:hAnsi="仿宋" w:eastAsia="仿宋"/>
          <w:bCs/>
          <w:color w:val="000000"/>
          <w:sz w:val="32"/>
          <w:szCs w:val="32"/>
        </w:rPr>
        <w:t>事业单位单位离退休</w:t>
      </w:r>
      <w:r>
        <w:rPr>
          <w:rStyle w:val="14"/>
          <w:rFonts w:hint="eastAsia" w:ascii="仿宋" w:hAnsi="仿宋" w:eastAsia="仿宋"/>
          <w:bCs/>
          <w:color w:val="000000"/>
          <w:sz w:val="32"/>
          <w:szCs w:val="32"/>
        </w:rPr>
        <w:t>（05机关事业单位</w:t>
      </w:r>
      <w:r>
        <w:rPr>
          <w:rStyle w:val="14"/>
          <w:rFonts w:ascii="仿宋" w:hAnsi="仿宋" w:eastAsia="仿宋"/>
          <w:bCs/>
          <w:color w:val="000000"/>
          <w:sz w:val="32"/>
          <w:szCs w:val="32"/>
        </w:rPr>
        <w:t>基本养老保险缴费支出</w:t>
      </w:r>
      <w:r>
        <w:rPr>
          <w:rStyle w:val="14"/>
          <w:rFonts w:hint="eastAsia" w:ascii="仿宋" w:hAnsi="仿宋" w:eastAsia="仿宋"/>
          <w:bCs/>
          <w:color w:val="000000"/>
          <w:sz w:val="32"/>
          <w:szCs w:val="32"/>
        </w:rPr>
        <w:t>（05）</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22.48</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社会保障和就业支出（208）行政</w:t>
      </w:r>
      <w:r>
        <w:rPr>
          <w:rStyle w:val="14"/>
          <w:rFonts w:ascii="仿宋" w:hAnsi="仿宋" w:eastAsia="仿宋"/>
          <w:bCs/>
          <w:color w:val="000000"/>
          <w:sz w:val="32"/>
          <w:szCs w:val="32"/>
        </w:rPr>
        <w:t>事业单位单位离退休</w:t>
      </w:r>
      <w:r>
        <w:rPr>
          <w:rStyle w:val="14"/>
          <w:rFonts w:hint="eastAsia" w:ascii="仿宋" w:hAnsi="仿宋" w:eastAsia="仿宋"/>
          <w:bCs/>
          <w:color w:val="000000"/>
          <w:sz w:val="32"/>
          <w:szCs w:val="32"/>
        </w:rPr>
        <w:t>（05）机关事业单位职业年金</w:t>
      </w:r>
      <w:r>
        <w:rPr>
          <w:rStyle w:val="14"/>
          <w:rFonts w:ascii="仿宋" w:hAnsi="仿宋" w:eastAsia="仿宋"/>
          <w:bCs/>
          <w:color w:val="000000"/>
          <w:sz w:val="32"/>
          <w:szCs w:val="32"/>
        </w:rPr>
        <w:t>缴费支出</w:t>
      </w:r>
      <w:r>
        <w:rPr>
          <w:rStyle w:val="14"/>
          <w:rFonts w:hint="eastAsia" w:ascii="仿宋" w:hAnsi="仿宋" w:eastAsia="仿宋"/>
          <w:bCs/>
          <w:color w:val="000000"/>
          <w:sz w:val="32"/>
          <w:szCs w:val="32"/>
        </w:rPr>
        <w:t>（06）</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10</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社会保障和就业支出（208）红十字事业（16）行政运行（01）</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261.29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社会保障和就业支出（208）红十字事业（16）一般行政管理事务（02）</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138.68</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14"/>
          <w:rFonts w:hint="eastAsia" w:ascii="仿宋" w:hAnsi="仿宋" w:eastAsia="仿宋"/>
          <w:bCs/>
          <w:color w:val="000000"/>
          <w:sz w:val="32"/>
          <w:szCs w:val="32"/>
        </w:rPr>
        <w:t>2</w:t>
      </w:r>
      <w:r>
        <w:rPr>
          <w:rStyle w:val="14"/>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卫生健康支出</w:t>
      </w:r>
      <w:r>
        <w:rPr>
          <w:rStyle w:val="14"/>
          <w:rFonts w:hint="eastAsia" w:ascii="仿宋" w:hAnsi="仿宋" w:eastAsia="仿宋"/>
          <w:bCs/>
          <w:color w:val="000000"/>
          <w:sz w:val="32"/>
          <w:szCs w:val="32"/>
        </w:rPr>
        <w:t>（210）行政</w:t>
      </w:r>
      <w:r>
        <w:rPr>
          <w:rStyle w:val="14"/>
          <w:rFonts w:ascii="仿宋" w:hAnsi="仿宋" w:eastAsia="仿宋"/>
          <w:bCs/>
          <w:color w:val="000000"/>
          <w:sz w:val="32"/>
          <w:szCs w:val="32"/>
        </w:rPr>
        <w:t>事业单位医疗</w:t>
      </w:r>
      <w:r>
        <w:rPr>
          <w:rStyle w:val="14"/>
          <w:rFonts w:hint="eastAsia" w:ascii="仿宋" w:hAnsi="仿宋" w:eastAsia="仿宋"/>
          <w:bCs/>
          <w:color w:val="000000"/>
          <w:sz w:val="32"/>
          <w:szCs w:val="32"/>
        </w:rPr>
        <w:t>（11）行政单位医疗（01）</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10.84</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卫生健康支出</w:t>
      </w:r>
      <w:r>
        <w:rPr>
          <w:rStyle w:val="14"/>
          <w:rFonts w:hint="eastAsia" w:ascii="仿宋" w:hAnsi="仿宋" w:eastAsia="仿宋"/>
          <w:bCs/>
          <w:color w:val="000000"/>
          <w:sz w:val="32"/>
          <w:szCs w:val="32"/>
        </w:rPr>
        <w:t>（210）行政</w:t>
      </w:r>
      <w:r>
        <w:rPr>
          <w:rStyle w:val="14"/>
          <w:rFonts w:ascii="仿宋" w:hAnsi="仿宋" w:eastAsia="仿宋"/>
          <w:bCs/>
          <w:color w:val="000000"/>
          <w:sz w:val="32"/>
          <w:szCs w:val="32"/>
        </w:rPr>
        <w:t>事业单位医疗</w:t>
      </w:r>
      <w:r>
        <w:rPr>
          <w:rStyle w:val="14"/>
          <w:rFonts w:hint="eastAsia" w:ascii="仿宋" w:hAnsi="仿宋" w:eastAsia="仿宋"/>
          <w:bCs/>
          <w:color w:val="000000"/>
          <w:sz w:val="32"/>
          <w:szCs w:val="32"/>
        </w:rPr>
        <w:t>（11）公务员医疗补助（03）</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2.2</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2" w:firstLineChars="200"/>
        <w:rPr>
          <w:rFonts w:ascii="仿宋" w:hAnsi="仿宋" w:eastAsia="仿宋"/>
          <w:color w:val="000000"/>
          <w:sz w:val="32"/>
          <w:szCs w:val="32"/>
        </w:rPr>
      </w:pPr>
      <w:r>
        <w:rPr>
          <w:rFonts w:hint="eastAsia" w:ascii="仿宋" w:hAnsi="仿宋" w:eastAsia="仿宋"/>
          <w:b/>
          <w:color w:val="000000"/>
          <w:sz w:val="32"/>
          <w:szCs w:val="32"/>
        </w:rPr>
        <w:t>3.住房保障支出（221）住房改革支出(02)住房公积金（01）：</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17.53</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tabs>
          <w:tab w:val="right" w:pos="8306"/>
        </w:tabs>
        <w:spacing w:line="600" w:lineRule="exact"/>
        <w:ind w:firstLine="640"/>
        <w:outlineLvl w:val="1"/>
        <w:rPr>
          <w:rStyle w:val="26"/>
        </w:rPr>
      </w:pPr>
      <w:bookmarkStart w:id="46" w:name="_Toc15377214"/>
      <w:bookmarkStart w:id="4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6"/>
      <w:bookmarkEnd w:id="47"/>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300.36</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284.62</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50.8</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112.85</w:t>
      </w:r>
      <w:r>
        <w:rPr>
          <w:rFonts w:hint="eastAsia" w:ascii="仿宋" w:hAnsi="仿宋" w:eastAsia="仿宋"/>
          <w:color w:val="000000"/>
          <w:sz w:val="32"/>
          <w:szCs w:val="32"/>
        </w:rPr>
        <w:t>万元、奖金</w:t>
      </w:r>
      <w:r>
        <w:rPr>
          <w:rFonts w:hint="eastAsia" w:ascii="仿宋" w:hAnsi="仿宋" w:eastAsia="仿宋"/>
          <w:color w:val="000000"/>
          <w:sz w:val="32"/>
          <w:szCs w:val="32"/>
          <w:lang w:val="en-US" w:eastAsia="zh-CN"/>
        </w:rPr>
        <w:t>14.79</w:t>
      </w:r>
      <w:r>
        <w:rPr>
          <w:rFonts w:hint="eastAsia" w:ascii="仿宋" w:hAnsi="仿宋" w:eastAsia="仿宋"/>
          <w:color w:val="000000"/>
          <w:sz w:val="32"/>
          <w:szCs w:val="32"/>
        </w:rPr>
        <w:t>万元、伙食补助费</w:t>
      </w:r>
      <w:r>
        <w:rPr>
          <w:rFonts w:hint="eastAsia" w:ascii="仿宋" w:hAnsi="仿宋" w:eastAsia="仿宋"/>
          <w:color w:val="000000"/>
          <w:sz w:val="32"/>
          <w:szCs w:val="32"/>
          <w:lang w:val="en-US" w:eastAsia="zh-CN"/>
        </w:rPr>
        <w:t>7.62</w:t>
      </w:r>
      <w:r>
        <w:rPr>
          <w:rFonts w:hint="eastAsia" w:ascii="仿宋" w:hAnsi="仿宋" w:eastAsia="仿宋"/>
          <w:color w:val="000000"/>
          <w:sz w:val="32"/>
          <w:szCs w:val="32"/>
        </w:rPr>
        <w:t>万元、机关事业单位基本养老保险缴费</w:t>
      </w:r>
      <w:r>
        <w:rPr>
          <w:rFonts w:hint="eastAsia" w:ascii="仿宋" w:hAnsi="仿宋" w:eastAsia="仿宋"/>
          <w:color w:val="000000"/>
          <w:sz w:val="32"/>
          <w:szCs w:val="32"/>
          <w:lang w:val="en-US" w:eastAsia="zh-CN"/>
        </w:rPr>
        <w:t>22.48</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10</w:t>
      </w:r>
      <w:r>
        <w:rPr>
          <w:rFonts w:hint="eastAsia" w:ascii="仿宋" w:hAnsi="仿宋" w:eastAsia="仿宋"/>
          <w:color w:val="000000"/>
          <w:sz w:val="32"/>
          <w:szCs w:val="32"/>
        </w:rPr>
        <w:t>万元、职工基本医疗保险缴费</w:t>
      </w:r>
      <w:r>
        <w:rPr>
          <w:rFonts w:hint="eastAsia" w:ascii="仿宋" w:hAnsi="仿宋" w:eastAsia="仿宋"/>
          <w:color w:val="000000"/>
          <w:sz w:val="32"/>
          <w:szCs w:val="32"/>
          <w:lang w:val="en-US" w:eastAsia="zh-CN"/>
        </w:rPr>
        <w:t>10.84</w:t>
      </w:r>
      <w:r>
        <w:rPr>
          <w:rFonts w:hint="eastAsia" w:ascii="仿宋" w:hAnsi="仿宋" w:eastAsia="仿宋"/>
          <w:color w:val="000000"/>
          <w:sz w:val="32"/>
          <w:szCs w:val="32"/>
        </w:rPr>
        <w:t>万元、公务员医疗补助缴费</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万元、其他社会保障缴费</w:t>
      </w:r>
      <w:r>
        <w:rPr>
          <w:rFonts w:hint="eastAsia" w:ascii="仿宋" w:hAnsi="仿宋" w:eastAsia="仿宋"/>
          <w:color w:val="000000"/>
          <w:sz w:val="32"/>
          <w:szCs w:val="32"/>
          <w:lang w:val="en-US" w:eastAsia="zh-CN"/>
        </w:rPr>
        <w:t>1.62</w:t>
      </w:r>
      <w:r>
        <w:rPr>
          <w:rFonts w:hint="eastAsia" w:ascii="仿宋" w:hAnsi="仿宋" w:eastAsia="仿宋"/>
          <w:color w:val="000000"/>
          <w:sz w:val="32"/>
          <w:szCs w:val="32"/>
        </w:rPr>
        <w:t>万元、住房公积金</w:t>
      </w:r>
      <w:r>
        <w:rPr>
          <w:rFonts w:hint="eastAsia" w:ascii="仿宋" w:hAnsi="仿宋" w:eastAsia="仿宋"/>
          <w:color w:val="000000"/>
          <w:sz w:val="32"/>
          <w:szCs w:val="32"/>
          <w:lang w:val="en-US" w:eastAsia="zh-CN"/>
        </w:rPr>
        <w:t>17.53</w:t>
      </w:r>
      <w:r>
        <w:rPr>
          <w:rFonts w:hint="eastAsia" w:ascii="仿宋" w:hAnsi="仿宋" w:eastAsia="仿宋"/>
          <w:color w:val="000000"/>
          <w:sz w:val="32"/>
          <w:szCs w:val="32"/>
        </w:rPr>
        <w:t>万元、其他工资福利支出</w:t>
      </w:r>
      <w:r>
        <w:rPr>
          <w:rFonts w:hint="eastAsia" w:ascii="仿宋" w:hAnsi="仿宋" w:eastAsia="仿宋"/>
          <w:color w:val="000000"/>
          <w:sz w:val="32"/>
          <w:szCs w:val="32"/>
          <w:lang w:val="en-US" w:eastAsia="zh-CN"/>
        </w:rPr>
        <w:t>33.89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31.63</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1.82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邮电费</w:t>
      </w:r>
      <w:r>
        <w:rPr>
          <w:rFonts w:hint="eastAsia" w:ascii="仿宋" w:hAnsi="仿宋" w:eastAsia="仿宋"/>
          <w:color w:val="000000"/>
          <w:sz w:val="32"/>
          <w:szCs w:val="32"/>
          <w:lang w:val="en-US" w:eastAsia="zh-CN"/>
        </w:rPr>
        <w:t>4.71万元、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9.91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维修（护）费0.03万元、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0.65</w:t>
      </w:r>
      <w:r>
        <w:rPr>
          <w:rFonts w:hint="eastAsia" w:ascii="仿宋" w:hAnsi="仿宋" w:eastAsia="仿宋"/>
          <w:color w:val="000000"/>
          <w:sz w:val="32"/>
          <w:szCs w:val="32"/>
        </w:rPr>
        <w:t>万元、公务接待费</w:t>
      </w:r>
      <w:r>
        <w:rPr>
          <w:rFonts w:hint="eastAsia" w:ascii="仿宋" w:hAnsi="仿宋" w:eastAsia="仿宋"/>
          <w:color w:val="000000"/>
          <w:sz w:val="32"/>
          <w:szCs w:val="32"/>
          <w:lang w:val="en-US" w:eastAsia="zh-CN"/>
        </w:rPr>
        <w:t>0.11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福利费2.14万元、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11.48</w:t>
      </w:r>
      <w:r>
        <w:rPr>
          <w:rFonts w:hint="eastAsia" w:ascii="仿宋" w:hAnsi="仿宋" w:eastAsia="仿宋"/>
          <w:color w:val="000000"/>
          <w:sz w:val="32"/>
          <w:szCs w:val="32"/>
        </w:rPr>
        <w:t>万元、其他商品和服务支出</w:t>
      </w:r>
      <w:r>
        <w:rPr>
          <w:rFonts w:hint="eastAsia" w:ascii="仿宋" w:hAnsi="仿宋" w:eastAsia="仿宋"/>
          <w:color w:val="000000"/>
          <w:sz w:val="32"/>
          <w:szCs w:val="32"/>
          <w:lang w:val="en-US" w:eastAsia="zh-CN"/>
        </w:rPr>
        <w:t>0.83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对家庭和个人补助8.09万元，生活补助8.09万元。       </w:t>
      </w:r>
    </w:p>
    <w:p>
      <w:pPr>
        <w:spacing w:line="600" w:lineRule="exact"/>
        <w:ind w:firstLine="640"/>
        <w:outlineLvl w:val="1"/>
        <w:rPr>
          <w:rStyle w:val="26"/>
          <w:rFonts w:ascii="黑体" w:hAnsi="黑体" w:eastAsia="黑体"/>
          <w:b w:val="0"/>
        </w:rPr>
      </w:pPr>
      <w:bookmarkStart w:id="48" w:name="_Toc15377215"/>
      <w:bookmarkStart w:id="49"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8"/>
      <w:bookmarkEnd w:id="49"/>
    </w:p>
    <w:p>
      <w:pPr>
        <w:spacing w:line="600" w:lineRule="exact"/>
        <w:ind w:firstLine="640"/>
        <w:outlineLvl w:val="2"/>
        <w:rPr>
          <w:rFonts w:ascii="仿宋" w:hAnsi="仿宋" w:eastAsia="仿宋"/>
          <w:b/>
          <w:color w:val="000000"/>
          <w:sz w:val="32"/>
          <w:szCs w:val="32"/>
        </w:rPr>
      </w:pPr>
      <w:bookmarkStart w:id="50" w:name="_Toc15377216"/>
      <w:r>
        <w:rPr>
          <w:rFonts w:hint="eastAsia" w:ascii="仿宋" w:hAnsi="仿宋" w:eastAsia="仿宋"/>
          <w:b/>
          <w:color w:val="000000"/>
          <w:sz w:val="32"/>
          <w:szCs w:val="32"/>
        </w:rPr>
        <w:t>（一）“三公”经费财政拨款支出决算总体情况说明</w:t>
      </w:r>
      <w:bookmarkEnd w:id="50"/>
    </w:p>
    <w:p>
      <w:pPr>
        <w:spacing w:line="600" w:lineRule="exact"/>
        <w:ind w:firstLine="640"/>
        <w:rPr>
          <w:rFonts w:ascii="仿宋" w:hAnsi="仿宋" w:eastAsia="仿宋"/>
          <w:b/>
          <w:color w:val="FF0000"/>
          <w:sz w:val="32"/>
          <w:szCs w:val="32"/>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21.88</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51" w:name="_Toc15377217"/>
      <w:r>
        <w:rPr>
          <w:rFonts w:hint="eastAsia" w:ascii="仿宋" w:hAnsi="仿宋" w:eastAsia="仿宋"/>
          <w:b/>
          <w:color w:val="000000"/>
          <w:sz w:val="32"/>
          <w:szCs w:val="32"/>
        </w:rPr>
        <w:t>（二）“三公”经费财政拨款支出决算具体情况说明</w:t>
      </w:r>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21.78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99.5</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0.5</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drawing>
          <wp:anchor distT="0" distB="0" distL="114300" distR="114300" simplePos="0" relativeHeight="251665408" behindDoc="0" locked="0" layoutInCell="1" allowOverlap="1">
            <wp:simplePos x="0" y="0"/>
            <wp:positionH relativeFrom="column">
              <wp:posOffset>371475</wp:posOffset>
            </wp:positionH>
            <wp:positionV relativeFrom="paragraph">
              <wp:posOffset>114300</wp:posOffset>
            </wp:positionV>
            <wp:extent cx="4743450" cy="1905000"/>
            <wp:effectExtent l="4445" t="4445" r="14605"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_GB2312" w:eastAsia="仿宋_GB2312"/>
          <w:b/>
          <w:color w:val="000000"/>
          <w:sz w:val="32"/>
          <w:szCs w:val="32"/>
        </w:rPr>
        <w:t>1</w:t>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21.78</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增加6.76</w:t>
      </w:r>
      <w:r>
        <w:rPr>
          <w:rFonts w:hint="eastAsia" w:ascii="仿宋_GB2312" w:eastAsia="仿宋_GB2312"/>
          <w:color w:val="000000"/>
          <w:sz w:val="32"/>
          <w:szCs w:val="32"/>
        </w:rPr>
        <w:t>万元。主要原因是</w:t>
      </w:r>
      <w:r>
        <w:rPr>
          <w:rFonts w:hint="eastAsia" w:ascii="仿宋_GB2312" w:eastAsia="仿宋_GB2312"/>
          <w:color w:val="000000"/>
          <w:sz w:val="32"/>
          <w:szCs w:val="32"/>
          <w:lang w:val="en-US" w:eastAsia="zh-CN"/>
        </w:rPr>
        <w:t>2022年车辆运行成本增加</w:t>
      </w:r>
      <w:r>
        <w:rPr>
          <w:rFonts w:hint="eastAsia" w:ascii="仿宋_GB2312" w:eastAsia="仿宋_GB2312"/>
          <w:color w:val="000000"/>
          <w:sz w:val="32"/>
          <w:szCs w:val="32"/>
        </w:rPr>
        <w:t>。其中：</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w:t>
      </w:r>
      <w:r>
        <w:rPr>
          <w:rFonts w:ascii="仿宋_GB2312" w:eastAsia="仿宋_GB2312"/>
          <w:color w:val="000000"/>
          <w:sz w:val="32"/>
          <w:szCs w:val="32"/>
        </w:rPr>
        <w:t>。</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辆，其中：机要通信用车1辆、应急保障用车1辆、 其他用车2辆(已无法正常使用)。</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21.78</w:t>
      </w:r>
      <w:r>
        <w:rPr>
          <w:rFonts w:hint="eastAsia" w:ascii="仿宋_GB2312" w:eastAsia="仿宋_GB2312"/>
          <w:color w:val="000000"/>
          <w:sz w:val="32"/>
          <w:szCs w:val="32"/>
        </w:rPr>
        <w:t>万元。主要用于救灾、救助、救护及“三献”工作等所需的公务用车燃料费、维修费、过路过桥费、保险费等支出。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0.11</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相比</w:t>
      </w:r>
      <w:r>
        <w:rPr>
          <w:rFonts w:hint="eastAsia" w:ascii="仿宋_GB2312" w:eastAsia="仿宋_GB2312"/>
          <w:color w:val="000000"/>
          <w:sz w:val="32"/>
          <w:szCs w:val="32"/>
          <w:lang w:val="en-US" w:eastAsia="zh-CN"/>
        </w:rPr>
        <w:t>无变动。</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0.11</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0.11</w:t>
      </w:r>
      <w:r>
        <w:rPr>
          <w:rFonts w:hint="eastAsia" w:ascii="仿宋_GB2312" w:eastAsia="仿宋_GB2312"/>
          <w:color w:val="000000"/>
          <w:sz w:val="32"/>
          <w:szCs w:val="32"/>
        </w:rPr>
        <w:t>万元。</w:t>
      </w:r>
    </w:p>
    <w:p>
      <w:pPr>
        <w:spacing w:line="600" w:lineRule="exact"/>
        <w:ind w:firstLine="640"/>
        <w:outlineLvl w:val="1"/>
        <w:rPr>
          <w:rStyle w:val="26"/>
          <w:rFonts w:ascii="黑体" w:hAnsi="黑体" w:eastAsia="黑体"/>
        </w:rPr>
      </w:pPr>
      <w:bookmarkStart w:id="52" w:name="_Toc15396610"/>
      <w:bookmarkStart w:id="53" w:name="_Toc15377218"/>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年无政府性基金预算拨款支出。</w:t>
      </w:r>
    </w:p>
    <w:p>
      <w:pPr>
        <w:numPr>
          <w:ilvl w:val="0"/>
          <w:numId w:val="3"/>
        </w:numPr>
        <w:spacing w:line="600" w:lineRule="exact"/>
        <w:ind w:firstLine="640"/>
        <w:outlineLvl w:val="1"/>
        <w:rPr>
          <w:rStyle w:val="26"/>
          <w:rFonts w:ascii="黑体" w:hAnsi="黑体" w:eastAsia="黑体"/>
          <w:b w:val="0"/>
        </w:rPr>
      </w:pPr>
      <w:bookmarkStart w:id="54" w:name="_Toc15377219"/>
      <w:bookmarkStart w:id="55" w:name="_Toc15396611"/>
      <w:r>
        <w:rPr>
          <w:rStyle w:val="26"/>
          <w:rFonts w:hint="eastAsia" w:ascii="黑体" w:hAnsi="黑体" w:eastAsia="黑体"/>
          <w:b w:val="0"/>
        </w:rPr>
        <w:t>国有资本经营预算支出决算情况说明</w:t>
      </w:r>
      <w:bookmarkEnd w:id="54"/>
      <w:bookmarkEnd w:id="5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年无国有资本经营预算拨款支出。</w:t>
      </w:r>
      <w:bookmarkStart w:id="56" w:name="_Toc15377221"/>
      <w:bookmarkStart w:id="57" w:name="_Toc15396612"/>
    </w:p>
    <w:p>
      <w:pPr>
        <w:spacing w:line="600" w:lineRule="exact"/>
        <w:ind w:firstLine="640"/>
        <w:rPr>
          <w:rStyle w:val="26"/>
          <w:rFonts w:ascii="仿宋_GB2312" w:hAnsi="Times New Roman" w:eastAsia="仿宋_GB2312" w:cs="Times New Roman"/>
          <w:b w:val="0"/>
          <w:bCs w:val="0"/>
          <w:color w:val="000000"/>
        </w:rPr>
      </w:pPr>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6"/>
      <w:bookmarkEnd w:id="57"/>
    </w:p>
    <w:p>
      <w:pPr>
        <w:spacing w:line="600" w:lineRule="exact"/>
        <w:ind w:firstLine="642" w:firstLineChars="200"/>
        <w:outlineLvl w:val="2"/>
        <w:rPr>
          <w:rFonts w:ascii="仿宋" w:hAnsi="仿宋" w:eastAsia="仿宋"/>
          <w:color w:val="000000"/>
          <w:sz w:val="32"/>
          <w:szCs w:val="32"/>
        </w:rPr>
      </w:pPr>
      <w:bookmarkStart w:id="58" w:name="_Toc15377222"/>
      <w:r>
        <w:rPr>
          <w:rFonts w:hint="eastAsia" w:ascii="仿宋" w:hAnsi="仿宋" w:eastAsia="仿宋"/>
          <w:b/>
          <w:color w:val="000000"/>
          <w:sz w:val="32"/>
          <w:szCs w:val="32"/>
        </w:rPr>
        <w:t>（一）机关运行经费支出情况</w:t>
      </w:r>
      <w:bookmarkEnd w:id="58"/>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年，阿坝州</w:t>
      </w:r>
      <w:r>
        <w:rPr>
          <w:rFonts w:ascii="仿宋_GB2312" w:eastAsia="仿宋_GB2312"/>
          <w:color w:val="000000"/>
          <w:sz w:val="32"/>
          <w:szCs w:val="32"/>
        </w:rPr>
        <w:t>红十字会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31.63</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减少11.3</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厉行节约，压减支出。</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9" w:name="_Toc15377223"/>
      <w:r>
        <w:rPr>
          <w:rFonts w:hint="eastAsia" w:ascii="仿宋" w:hAnsi="仿宋" w:eastAsia="仿宋"/>
          <w:b/>
          <w:color w:val="000000"/>
          <w:sz w:val="32"/>
          <w:szCs w:val="32"/>
        </w:rPr>
        <w:t>（二）政府采购支出情况</w:t>
      </w:r>
      <w:bookmarkEnd w:id="5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年，阿坝州红十字会政府采购支出总额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万元、政府采购工程支出0万元、政府采购服务支出0万元。主要用于采购办公</w:t>
      </w:r>
      <w:r>
        <w:rPr>
          <w:rFonts w:ascii="仿宋_GB2312" w:eastAsia="仿宋_GB2312"/>
          <w:color w:val="000000"/>
          <w:sz w:val="32"/>
          <w:szCs w:val="32"/>
        </w:rPr>
        <w:t>设备及软件</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60" w:name="_Toc15377224"/>
      <w:r>
        <w:rPr>
          <w:rFonts w:hint="eastAsia" w:ascii="仿宋" w:hAnsi="仿宋" w:eastAsia="仿宋"/>
          <w:b/>
          <w:color w:val="000000"/>
          <w:sz w:val="32"/>
          <w:szCs w:val="32"/>
        </w:rPr>
        <w:t>（三）国有资产占有使用情况</w:t>
      </w:r>
      <w:bookmarkEnd w:id="60"/>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日，阿坝州红十字会共有车辆4辆，其中：机要通信用车1辆、应急保障用车1辆、其他用车2辆。</w:t>
      </w:r>
      <w:r>
        <w:rPr>
          <w:rFonts w:hint="eastAsia" w:ascii="仿宋_GB2312" w:eastAsia="仿宋_GB2312"/>
          <w:color w:val="000000" w:themeColor="text1"/>
          <w:sz w:val="32"/>
          <w:szCs w:val="32"/>
          <w14:textFill>
            <w14:solidFill>
              <w14:schemeClr w14:val="tx1"/>
            </w14:solidFill>
          </w14:textFill>
        </w:rPr>
        <w:t>其他用车主要是捐赠车辆，现已无法正常使用。单价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根据预算绩效管理要求，我会在年初预算编制阶段，组织对</w:t>
      </w:r>
      <w:r>
        <w:rPr>
          <w:rFonts w:hint="eastAsia" w:ascii="仿宋_GB2312" w:hAnsi="仿宋_GB2312" w:eastAsia="仿宋_GB2312" w:cs="仿宋_GB2312"/>
          <w:sz w:val="32"/>
          <w:szCs w:val="32"/>
          <w:highlight w:val="none"/>
          <w:lang w:val="en-US" w:eastAsia="zh-CN"/>
        </w:rPr>
        <w:t>8个</w:t>
      </w:r>
      <w:r>
        <w:rPr>
          <w:rFonts w:hint="eastAsia" w:ascii="仿宋_GB2312" w:hAnsi="仿宋_GB2312" w:eastAsia="仿宋_GB2312" w:cs="仿宋_GB2312"/>
          <w:sz w:val="32"/>
          <w:szCs w:val="32"/>
          <w:highlight w:val="none"/>
        </w:rPr>
        <w:t>项目开展了预算事前绩效评估，对</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个项目编制了绩效目标。</w:t>
      </w:r>
    </w:p>
    <w:p>
      <w:pPr>
        <w:widowControl/>
        <w:spacing w:line="576" w:lineRule="exact"/>
        <w:ind w:firstLine="800" w:firstLineChars="250"/>
        <w:jc w:val="left"/>
        <w:rPr>
          <w:rFonts w:ascii="仿宋_GB2312" w:hAnsi="宋体" w:eastAsia="仿宋_GB2312" w:cs="宋体"/>
          <w:kern w:val="0"/>
          <w:sz w:val="32"/>
          <w:szCs w:val="32"/>
        </w:rPr>
      </w:pPr>
      <w:r>
        <w:rPr>
          <w:rFonts w:hint="eastAsia" w:ascii="仿宋_GB2312" w:hAnsi="仿宋_GB2312" w:eastAsia="仿宋_GB2312" w:cs="仿宋_GB2312"/>
          <w:sz w:val="32"/>
          <w:szCs w:val="32"/>
        </w:rPr>
        <w:t>我会按要求对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年部门整体支出开展绩效自评，从评价情况来看</w:t>
      </w:r>
      <w:r>
        <w:rPr>
          <w:rFonts w:hint="eastAsia" w:ascii="仿宋_GB2312" w:hAnsi="宋体" w:eastAsia="仿宋_GB2312" w:cs="宋体"/>
          <w:kern w:val="0"/>
          <w:sz w:val="32"/>
          <w:szCs w:val="32"/>
        </w:rPr>
        <w:t>预算支出在保障本部门工作运转、履行职能职责上整体情况良好。预算编制比较精确、合理，预算支出严格落实中央“八项”规定等厉行节约，反对浪费规定要求，加强三公经费支出管理，动态优化了年度预算安排，保障了经费高效运转。</w:t>
      </w:r>
      <w:r>
        <w:rPr>
          <w:rFonts w:hint="eastAsia" w:ascii="仿宋_GB2312" w:hAnsi="仿宋_GB2312" w:eastAsia="仿宋_GB2312" w:cs="仿宋_GB2312"/>
          <w:sz w:val="32"/>
          <w:szCs w:val="32"/>
        </w:rPr>
        <w:t>我会还</w:t>
      </w:r>
      <w:r>
        <w:rPr>
          <w:rFonts w:hint="eastAsia" w:ascii="仿宋_GB2312" w:hAnsi="仿宋_GB2312" w:eastAsia="仿宋_GB2312" w:cs="仿宋_GB2312"/>
          <w:sz w:val="32"/>
          <w:szCs w:val="32"/>
          <w:lang w:val="en-US" w:eastAsia="zh-CN"/>
        </w:rPr>
        <w:t>进行了</w:t>
      </w:r>
      <w:r>
        <w:rPr>
          <w:rFonts w:hint="eastAsia" w:ascii="仿宋_GB2312" w:hAnsi="仿宋_GB2312" w:eastAsia="仿宋_GB2312" w:cs="仿宋_GB2312"/>
          <w:sz w:val="32"/>
          <w:szCs w:val="32"/>
          <w:highlight w:val="none"/>
          <w:lang w:val="en-US" w:eastAsia="zh-CN"/>
        </w:rPr>
        <w:t>目标</w:t>
      </w:r>
      <w:r>
        <w:rPr>
          <w:rFonts w:hint="eastAsia" w:ascii="仿宋_GB2312" w:hAnsi="仿宋_GB2312" w:eastAsia="仿宋_GB2312" w:cs="仿宋_GB2312"/>
          <w:sz w:val="32"/>
          <w:szCs w:val="32"/>
        </w:rPr>
        <w:t>支出绩效</w:t>
      </w:r>
      <w:r>
        <w:rPr>
          <w:rFonts w:hint="eastAsia" w:ascii="仿宋_GB2312" w:hAnsi="仿宋_GB2312" w:eastAsia="仿宋_GB2312" w:cs="仿宋_GB2312"/>
          <w:sz w:val="32"/>
          <w:szCs w:val="32"/>
          <w:lang w:val="en-US" w:eastAsia="zh-CN"/>
        </w:rPr>
        <w:t>自</w:t>
      </w:r>
      <w:r>
        <w:rPr>
          <w:rFonts w:hint="eastAsia" w:ascii="仿宋_GB2312" w:hAnsi="仿宋_GB2312" w:eastAsia="仿宋_GB2312" w:cs="仿宋_GB2312"/>
          <w:sz w:val="32"/>
          <w:szCs w:val="32"/>
        </w:rPr>
        <w:t>评，从评价情况来看</w:t>
      </w:r>
      <w:r>
        <w:rPr>
          <w:rFonts w:hint="eastAsia" w:ascii="仿宋_GB2312" w:hAnsi="宋体" w:eastAsia="仿宋_GB2312" w:cs="宋体"/>
          <w:kern w:val="0"/>
          <w:sz w:val="32"/>
          <w:szCs w:val="32"/>
        </w:rPr>
        <w:t>各项目经费严格按照轻重缓急的要求保证和使用，开展了常规的“红十字博爱送万家”、“红十字关爱进社区”、 “大病贫困救助”、 “</w:t>
      </w:r>
      <w:r>
        <w:rPr>
          <w:rFonts w:hint="eastAsia" w:ascii="仿宋_GB2312" w:hAnsi="Book Antiqua" w:eastAsia="仿宋_GB2312"/>
          <w:sz w:val="32"/>
          <w:szCs w:val="32"/>
        </w:rPr>
        <w:t>防灾避险、卫生救护培训</w:t>
      </w:r>
      <w:r>
        <w:rPr>
          <w:rFonts w:hint="eastAsia" w:ascii="仿宋_GB2312" w:hAnsi="宋体" w:eastAsia="仿宋_GB2312" w:cs="宋体"/>
          <w:kern w:val="0"/>
          <w:sz w:val="32"/>
          <w:szCs w:val="32"/>
        </w:rPr>
        <w:t>”</w:t>
      </w:r>
      <w:r>
        <w:rPr>
          <w:rFonts w:hint="eastAsia" w:ascii="仿宋_GB2312" w:hAnsi="Book Antiqua" w:eastAsia="仿宋_GB2312"/>
          <w:sz w:val="32"/>
          <w:szCs w:val="32"/>
        </w:rPr>
        <w:t>、应急救援队建设</w:t>
      </w:r>
      <w:r>
        <w:rPr>
          <w:rFonts w:hint="eastAsia" w:ascii="仿宋_GB2312" w:hAnsi="宋体" w:eastAsia="仿宋_GB2312" w:cs="宋体"/>
          <w:kern w:val="0"/>
          <w:sz w:val="32"/>
          <w:szCs w:val="32"/>
        </w:rPr>
        <w:t>等项目，大力宣传了红十字会的职能，提高了群众及青少年对红十字会的了解，提升了各级群众应急、救灾、救护的能力</w:t>
      </w:r>
      <w:r>
        <w:rPr>
          <w:rFonts w:hint="eastAsia" w:ascii="仿宋_GB2312" w:hAnsi="仿宋_GB2312" w:eastAsia="仿宋_GB2312" w:cs="仿宋_GB2312"/>
          <w:sz w:val="32"/>
          <w:szCs w:val="32"/>
        </w:rPr>
        <w:t>。</w:t>
      </w:r>
    </w:p>
    <w:p>
      <w:pPr>
        <w:spacing w:line="58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1.项目绩效目标完成情况。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人道救助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Book Antiqua" w:eastAsia="仿宋_GB2312"/>
          <w:sz w:val="32"/>
          <w:szCs w:val="32"/>
        </w:rPr>
        <w:t>防灾避险、卫生救护培训</w:t>
      </w:r>
      <w:r>
        <w:rPr>
          <w:rFonts w:hint="eastAsia" w:ascii="仿宋_GB2312" w:hAnsi="仿宋_GB2312" w:eastAsia="仿宋_GB2312" w:cs="仿宋_GB2312"/>
          <w:sz w:val="32"/>
          <w:szCs w:val="32"/>
        </w:rPr>
        <w:t>”、“应急救援队”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宣传工作</w:t>
      </w:r>
      <w:r>
        <w:rPr>
          <w:rFonts w:hint="eastAsia" w:ascii="仿宋_GB2312" w:hAnsi="仿宋_GB2312" w:eastAsia="仿宋_GB2312" w:cs="仿宋_GB2312"/>
          <w:sz w:val="32"/>
          <w:szCs w:val="32"/>
          <w:lang w:eastAsia="zh-CN"/>
        </w:rPr>
        <w:t>”、“阿坝州备灾应急中心维修（护）、物资运输、仓储及管理等运行”、  “博爱家园及三救三献”等项目工作经费、“红十字青少年活动工作”、“组织志愿者培训及队伍建设”、阿坝州备灾应急中心升级维护费、车辆大修川UV3500</w:t>
      </w:r>
      <w:r>
        <w:rPr>
          <w:rFonts w:hint="eastAsia" w:ascii="仿宋_GB2312" w:hAnsi="仿宋_GB2312" w:eastAsia="仿宋_GB2312" w:cs="仿宋_GB2312"/>
          <w:sz w:val="32"/>
          <w:szCs w:val="32"/>
        </w:rPr>
        <w:t>等项目绩效目标实际完成情况</w:t>
      </w:r>
      <w:r>
        <w:rPr>
          <w:rFonts w:hint="eastAsia" w:ascii="仿宋_GB2312" w:hAnsi="仿宋_GB2312" w:eastAsia="仿宋_GB2312" w:cs="仿宋_GB2312"/>
          <w:sz w:val="32"/>
          <w:szCs w:val="32"/>
          <w:lang w:eastAsia="zh-CN"/>
        </w:rPr>
        <w:t>：</w:t>
      </w:r>
    </w:p>
    <w:tbl>
      <w:tblPr>
        <w:tblStyle w:val="12"/>
        <w:tblpPr w:leftFromText="180" w:rightFromText="180" w:vertAnchor="text" w:horzAnchor="page" w:tblpX="1398" w:tblpY="575"/>
        <w:tblOverlap w:val="never"/>
        <w:tblW w:w="91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0"/>
        <w:gridCol w:w="637"/>
        <w:gridCol w:w="1146"/>
        <w:gridCol w:w="3107"/>
        <w:gridCol w:w="3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9120" w:type="dxa"/>
            <w:gridSpan w:val="5"/>
            <w:tcBorders>
              <w:top w:val="nil"/>
              <w:left w:val="nil"/>
              <w:bottom w:val="nil"/>
              <w:right w:val="nil"/>
            </w:tcBorders>
            <w:shd w:val="clear" w:color="auto" w:fill="auto"/>
            <w:vAlign w:val="center"/>
          </w:tcPr>
          <w:p>
            <w:pPr>
              <w:jc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sz w:val="32"/>
                <w:szCs w:val="32"/>
                <w:lang w:val="en-US" w:eastAsia="zh-CN"/>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 w:hRule="atLeast"/>
        </w:trPr>
        <w:tc>
          <w:tcPr>
            <w:tcW w:w="9120" w:type="dxa"/>
            <w:gridSpan w:val="5"/>
            <w:tcBorders>
              <w:top w:val="nil"/>
              <w:left w:val="nil"/>
              <w:bottom w:val="nil"/>
              <w:right w:val="nil"/>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  2022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 w:hRule="atLeast"/>
        </w:trPr>
        <w:tc>
          <w:tcPr>
            <w:tcW w:w="2373"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项目名称</w:t>
            </w:r>
          </w:p>
        </w:tc>
        <w:tc>
          <w:tcPr>
            <w:tcW w:w="6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1050" w:firstLineChars="500"/>
              <w:jc w:val="both"/>
              <w:rPr>
                <w:rFonts w:hint="eastAsia" w:ascii="仿宋_GB2312" w:hAnsi="仿宋_GB2312" w:eastAsia="仿宋_GB2312" w:cs="仿宋_GB2312"/>
                <w:i w:val="0"/>
                <w:iCs w:val="0"/>
                <w:color w:val="000000"/>
                <w:sz w:val="32"/>
                <w:szCs w:val="32"/>
                <w:u w:val="none"/>
              </w:rPr>
            </w:pPr>
            <w:r>
              <w:rPr>
                <w:rFonts w:hint="eastAsia"/>
                <w:lang w:val="en-US" w:eastAsia="zh-CN"/>
              </w:rPr>
              <w:t>红十字会人道救助项目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2373"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预算单位</w:t>
            </w:r>
          </w:p>
        </w:tc>
        <w:tc>
          <w:tcPr>
            <w:tcW w:w="6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1260" w:firstLineChars="600"/>
              <w:jc w:val="both"/>
              <w:rPr>
                <w:rFonts w:hint="eastAsia" w:ascii="仿宋_GB2312" w:hAnsi="仿宋_GB2312" w:eastAsia="仿宋_GB2312" w:cs="仿宋_GB2312"/>
                <w:i w:val="0"/>
                <w:iCs w:val="0"/>
                <w:color w:val="000000"/>
                <w:sz w:val="32"/>
                <w:szCs w:val="32"/>
                <w:u w:val="none"/>
              </w:rPr>
            </w:pPr>
            <w:r>
              <w:rPr>
                <w:rFonts w:hint="eastAsia"/>
                <w:lang w:val="en-US" w:eastAsia="zh-CN"/>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trPr>
        <w:tc>
          <w:tcPr>
            <w:tcW w:w="237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项目资金</w:t>
            </w:r>
            <w:r>
              <w:rPr>
                <w:rFonts w:hint="eastAsia"/>
                <w:lang w:val="en-US" w:eastAsia="zh-CN"/>
              </w:rPr>
              <w:br w:type="textWrapping"/>
            </w:r>
            <w:r>
              <w:rPr>
                <w:rFonts w:hint="eastAsia"/>
                <w:lang w:val="en-US" w:eastAsia="zh-CN"/>
              </w:rPr>
              <w:t>（万元）</w:t>
            </w:r>
          </w:p>
        </w:tc>
        <w:tc>
          <w:tcPr>
            <w:tcW w:w="6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1050" w:firstLineChars="500"/>
              <w:jc w:val="both"/>
              <w:rPr>
                <w:rFonts w:hint="eastAsia" w:ascii="仿宋_GB2312" w:hAnsi="仿宋_GB2312" w:eastAsia="仿宋_GB2312" w:cs="仿宋_GB2312"/>
                <w:i w:val="0"/>
                <w:iCs w:val="0"/>
                <w:color w:val="000000"/>
                <w:sz w:val="32"/>
                <w:szCs w:val="32"/>
                <w:u w:val="none"/>
              </w:rPr>
            </w:pPr>
            <w:r>
              <w:rPr>
                <w:rFonts w:hint="eastAsia"/>
                <w:lang w:val="en-US" w:eastAsia="zh-CN"/>
              </w:rPr>
              <w:t>年度资金总额：36万元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237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840" w:firstLineChars="400"/>
              <w:jc w:val="both"/>
              <w:rPr>
                <w:rFonts w:hint="eastAsia" w:ascii="仿宋_GB2312" w:hAnsi="仿宋_GB2312" w:eastAsia="仿宋_GB2312" w:cs="仿宋_GB2312"/>
                <w:i w:val="0"/>
                <w:iCs w:val="0"/>
                <w:color w:val="000000"/>
                <w:sz w:val="32"/>
                <w:szCs w:val="32"/>
                <w:u w:val="none"/>
              </w:rPr>
            </w:pPr>
            <w:r>
              <w:rPr>
                <w:rFonts w:hint="eastAsia"/>
                <w:lang w:val="en-US" w:eastAsia="zh-CN"/>
              </w:rPr>
              <w:t>其中：财政拨款 36万元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37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1470" w:firstLineChars="700"/>
              <w:jc w:val="both"/>
              <w:rPr>
                <w:rFonts w:hint="eastAsia" w:ascii="仿宋_GB2312" w:hAnsi="仿宋_GB2312" w:eastAsia="仿宋_GB2312" w:cs="仿宋_GB2312"/>
                <w:i w:val="0"/>
                <w:iCs w:val="0"/>
                <w:color w:val="000000"/>
                <w:sz w:val="32"/>
                <w:szCs w:val="32"/>
                <w:u w:val="none"/>
              </w:rPr>
            </w:pPr>
            <w:r>
              <w:rPr>
                <w:rFonts w:hint="eastAsia"/>
                <w:lang w:val="en-US" w:eastAsia="zh-CN"/>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23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预算测算标准及测算过程</w:t>
            </w:r>
          </w:p>
        </w:tc>
        <w:tc>
          <w:tcPr>
            <w:tcW w:w="6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原“大病救助项目”16万/年、“关爱进社区项目”5万/年、“博爱送万家项目”15万/年，合并为36万元/年。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 w:hRule="atLeast"/>
        </w:trPr>
        <w:tc>
          <w:tcPr>
            <w:tcW w:w="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总</w:t>
            </w:r>
            <w:r>
              <w:rPr>
                <w:rFonts w:hint="eastAsia"/>
                <w:lang w:val="en-US" w:eastAsia="zh-CN"/>
              </w:rPr>
              <w:br w:type="textWrapping"/>
            </w:r>
            <w:r>
              <w:rPr>
                <w:rFonts w:hint="eastAsia"/>
                <w:lang w:val="en-US" w:eastAsia="zh-CN"/>
              </w:rPr>
              <w:t>体</w:t>
            </w:r>
            <w:r>
              <w:rPr>
                <w:rFonts w:hint="eastAsia"/>
                <w:lang w:val="en-US" w:eastAsia="zh-CN"/>
              </w:rPr>
              <w:br w:type="textWrapping"/>
            </w:r>
            <w:r>
              <w:rPr>
                <w:rFonts w:hint="eastAsia"/>
                <w:lang w:val="en-US" w:eastAsia="zh-CN"/>
              </w:rPr>
              <w:t>目</w:t>
            </w:r>
            <w:r>
              <w:rPr>
                <w:rFonts w:hint="eastAsia"/>
                <w:lang w:val="en-US" w:eastAsia="zh-CN"/>
              </w:rPr>
              <w:br w:type="textWrapping"/>
            </w:r>
            <w:r>
              <w:rPr>
                <w:rFonts w:hint="eastAsia"/>
                <w:lang w:val="en-US" w:eastAsia="zh-CN"/>
              </w:rPr>
              <w:t>标</w:t>
            </w:r>
          </w:p>
        </w:tc>
        <w:tc>
          <w:tcPr>
            <w:tcW w:w="85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9" w:hRule="atLeast"/>
        </w:trPr>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853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据《中华人民共和国红十字会法》第三章第十二条红十字会履行职责和《中国红十字会章程》第二章第十条红十字会履行职责的相关规定，我会长期执行“大病救助”、“关爱进社区”、“博爱送万家”等红十字品牌项目，现将该批项目合并为“阿坝州红十字会人道救助项目”，继续关心帮助我州弱势群体的生命与健康。结合我州建设一州、两区、三家园的总体目标，大力开展我州弱势群体的助医、助困、助学等工作，切实发挥好党和政府在人道领域联系人民群众的桥梁和纽带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590" w:type="dxa"/>
            <w:vMerge w:val="restar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绩</w:t>
            </w:r>
            <w:r>
              <w:rPr>
                <w:rFonts w:hint="eastAsia"/>
                <w:lang w:val="en-US" w:eastAsia="zh-CN"/>
              </w:rPr>
              <w:br w:type="textWrapping"/>
            </w:r>
            <w:r>
              <w:rPr>
                <w:rFonts w:hint="eastAsia"/>
                <w:lang w:val="en-US" w:eastAsia="zh-CN"/>
              </w:rPr>
              <w:t>效</w:t>
            </w:r>
            <w:r>
              <w:rPr>
                <w:rFonts w:hint="eastAsia"/>
                <w:lang w:val="en-US" w:eastAsia="zh-CN"/>
              </w:rPr>
              <w:br w:type="textWrapping"/>
            </w:r>
            <w:r>
              <w:rPr>
                <w:rFonts w:hint="eastAsia"/>
                <w:lang w:val="en-US" w:eastAsia="zh-CN"/>
              </w:rPr>
              <w:t>指</w:t>
            </w:r>
            <w:r>
              <w:rPr>
                <w:rFonts w:hint="eastAsia"/>
                <w:lang w:val="en-US" w:eastAsia="zh-CN"/>
              </w:rPr>
              <w:br w:type="textWrapping"/>
            </w:r>
            <w:r>
              <w:rPr>
                <w:rFonts w:hint="eastAsia"/>
                <w:lang w:val="en-US" w:eastAsia="zh-CN"/>
              </w:rPr>
              <w:t>标</w:t>
            </w:r>
          </w:p>
        </w:tc>
        <w:tc>
          <w:tcPr>
            <w:tcW w:w="637"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一级</w:t>
            </w:r>
            <w:r>
              <w:rPr>
                <w:rFonts w:hint="eastAsia"/>
                <w:lang w:val="en-US" w:eastAsia="zh-CN"/>
              </w:rPr>
              <w:br w:type="textWrapping"/>
            </w:r>
            <w:r>
              <w:rPr>
                <w:rFonts w:hint="eastAsia"/>
                <w:lang w:val="en-US" w:eastAsia="zh-CN"/>
              </w:rPr>
              <w:t>指标</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二级指标</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三级指标</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 w:hRule="atLeast"/>
        </w:trPr>
        <w:tc>
          <w:tcPr>
            <w:tcW w:w="59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37" w:type="dxa"/>
            <w:vMerge w:val="restar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项目完成</w:t>
            </w:r>
          </w:p>
        </w:tc>
        <w:tc>
          <w:tcPr>
            <w:tcW w:w="1146"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数量指标</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指标1：每年救助人数</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救助人数达500-1000人次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 w:hRule="atLeast"/>
        </w:trPr>
        <w:tc>
          <w:tcPr>
            <w:tcW w:w="59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3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146"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质量指标</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指标1：物资质量</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涉及物资采购时，所采购的物资符合国家相关标准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59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3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146"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时效指标</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指标1：完成时效</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2022年年底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59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3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146"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成本指标</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指标1：救助人均成本</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350元-700元/人次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59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3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146"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社会效益</w:t>
            </w:r>
            <w:r>
              <w:rPr>
                <w:rFonts w:hint="eastAsia"/>
                <w:lang w:val="en-US" w:eastAsia="zh-CN"/>
              </w:rPr>
              <w:br w:type="textWrapping"/>
            </w:r>
            <w:r>
              <w:rPr>
                <w:rFonts w:hint="eastAsia"/>
                <w:lang w:val="en-US" w:eastAsia="zh-CN"/>
              </w:rPr>
              <w:t>指标</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指标1：社会影响</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r>
              <w:rPr>
                <w:rFonts w:hint="eastAsia"/>
                <w:lang w:val="en-US" w:eastAsia="zh-CN"/>
              </w:rPr>
              <w:t>助困帮扶，切实关心帮助我州弱势群体的生命与健康，切实发挥好党和政府在人道领域联系人民群众的桥梁和纽带作用</w:t>
            </w:r>
          </w:p>
        </w:tc>
      </w:tr>
    </w:tbl>
    <w:p>
      <w:pPr>
        <w:spacing w:line="580" w:lineRule="exact"/>
        <w:rPr>
          <w:rFonts w:ascii="仿宋_GB2312" w:hAnsi="仿宋_GB2312" w:eastAsia="仿宋_GB2312" w:cs="仿宋_GB2312"/>
          <w:sz w:val="32"/>
          <w:szCs w:val="32"/>
        </w:rPr>
      </w:pPr>
    </w:p>
    <w:tbl>
      <w:tblPr>
        <w:tblStyle w:val="12"/>
        <w:tblpPr w:leftFromText="180" w:rightFromText="180" w:vertAnchor="text" w:horzAnchor="page" w:tblpXSpec="center" w:tblpY="530"/>
        <w:tblOverlap w:val="never"/>
        <w:tblW w:w="96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0"/>
        <w:gridCol w:w="1145"/>
        <w:gridCol w:w="955"/>
        <w:gridCol w:w="3447"/>
        <w:gridCol w:w="28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9660" w:type="dxa"/>
            <w:gridSpan w:val="5"/>
            <w:tcBorders>
              <w:top w:val="nil"/>
              <w:left w:val="nil"/>
              <w:bottom w:val="nil"/>
              <w:right w:val="nil"/>
            </w:tcBorders>
            <w:shd w:val="clear" w:color="auto" w:fill="auto"/>
            <w:vAlign w:val="center"/>
          </w:tcPr>
          <w:p>
            <w:pPr>
              <w:jc w:val="both"/>
              <w:rPr>
                <w:rFonts w:hint="eastAsia"/>
                <w:lang w:val="en-US" w:eastAsia="zh-CN"/>
              </w:rPr>
            </w:pPr>
          </w:p>
          <w:p>
            <w:pPr>
              <w:jc w:val="center"/>
              <w:rPr>
                <w:rFonts w:hint="eastAsia"/>
              </w:rPr>
            </w:pPr>
            <w:r>
              <w:rPr>
                <w:rFonts w:hint="eastAsia" w:ascii="仿宋_GB2312" w:hAnsi="仿宋_GB2312" w:eastAsia="仿宋_GB2312" w:cs="仿宋_GB2312"/>
                <w:sz w:val="32"/>
                <w:szCs w:val="32"/>
                <w:lang w:val="en-US" w:eastAsia="zh-CN"/>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660" w:type="dxa"/>
            <w:gridSpan w:val="5"/>
            <w:tcBorders>
              <w:top w:val="nil"/>
              <w:left w:val="nil"/>
              <w:bottom w:val="nil"/>
              <w:right w:val="nil"/>
            </w:tcBorders>
            <w:shd w:val="clear" w:color="auto" w:fill="auto"/>
            <w:vAlign w:val="center"/>
          </w:tcPr>
          <w:p>
            <w:pPr>
              <w:jc w:val="center"/>
              <w:rPr>
                <w:rFonts w:hint="eastAsia"/>
              </w:rPr>
            </w:pPr>
            <w:r>
              <w:rPr>
                <w:rFonts w:hint="eastAsia"/>
                <w:lang w:val="en-US" w:eastAsia="zh-CN"/>
              </w:rPr>
              <w:t>（</w:t>
            </w:r>
            <w:r>
              <w:rPr>
                <w:rFonts w:hint="default"/>
                <w:lang w:val="en-US" w:eastAsia="zh-CN"/>
              </w:rPr>
              <w:t xml:space="preserve">  2022</w:t>
            </w:r>
            <w:r>
              <w:rPr>
                <w:rFonts w:hint="eastAsia"/>
                <w:lang w:val="en-US" w:eastAsia="zh-CN"/>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3330"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项目名称</w:t>
            </w:r>
          </w:p>
        </w:tc>
        <w:tc>
          <w:tcPr>
            <w:tcW w:w="6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630" w:firstLineChars="300"/>
              <w:jc w:val="both"/>
              <w:rPr>
                <w:rFonts w:hint="eastAsia"/>
              </w:rPr>
            </w:pPr>
            <w:r>
              <w:rPr>
                <w:rFonts w:hint="eastAsia"/>
                <w:lang w:val="en-US" w:eastAsia="zh-CN"/>
              </w:rPr>
              <w:t>红十字青少年活动工作经费项目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8" w:hRule="atLeast"/>
          <w:jc w:val="center"/>
        </w:trPr>
        <w:tc>
          <w:tcPr>
            <w:tcW w:w="3330"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预算单位</w:t>
            </w:r>
          </w:p>
        </w:tc>
        <w:tc>
          <w:tcPr>
            <w:tcW w:w="6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840" w:firstLineChars="400"/>
              <w:jc w:val="both"/>
              <w:rPr>
                <w:rFonts w:hint="eastAsia"/>
              </w:rPr>
            </w:pPr>
            <w:r>
              <w:rPr>
                <w:rFonts w:hint="eastAsia"/>
                <w:lang w:val="en-US" w:eastAsia="zh-CN"/>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333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项目资金</w:t>
            </w:r>
            <w:r>
              <w:rPr>
                <w:rFonts w:hint="eastAsia"/>
                <w:lang w:val="en-US" w:eastAsia="zh-CN"/>
              </w:rPr>
              <w:br w:type="textWrapping"/>
            </w:r>
            <w:r>
              <w:rPr>
                <w:rFonts w:hint="eastAsia"/>
                <w:lang w:val="en-US" w:eastAsia="zh-CN"/>
              </w:rPr>
              <w:t>（万元）</w:t>
            </w:r>
          </w:p>
        </w:tc>
        <w:tc>
          <w:tcPr>
            <w:tcW w:w="6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630" w:firstLineChars="300"/>
              <w:jc w:val="both"/>
              <w:rPr>
                <w:rFonts w:hint="eastAsia"/>
              </w:rPr>
            </w:pPr>
            <w:r>
              <w:rPr>
                <w:rFonts w:hint="eastAsia"/>
                <w:lang w:val="en-US" w:eastAsia="zh-CN"/>
              </w:rPr>
              <w:t>年度资金总额：4万元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 w:hRule="atLeast"/>
          <w:jc w:val="center"/>
        </w:trPr>
        <w:tc>
          <w:tcPr>
            <w:tcW w:w="33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6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630" w:firstLineChars="300"/>
              <w:jc w:val="both"/>
              <w:rPr>
                <w:rFonts w:hint="eastAsia"/>
              </w:rPr>
            </w:pPr>
            <w:r>
              <w:rPr>
                <w:rFonts w:hint="eastAsia"/>
                <w:lang w:val="en-US" w:eastAsia="zh-CN"/>
              </w:rPr>
              <w:t>其中：财政拨款：4万元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 w:hRule="atLeast"/>
          <w:jc w:val="center"/>
        </w:trPr>
        <w:tc>
          <w:tcPr>
            <w:tcW w:w="33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6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840" w:firstLineChars="400"/>
              <w:jc w:val="both"/>
              <w:rPr>
                <w:rFonts w:hint="eastAsia"/>
              </w:rPr>
            </w:pPr>
            <w:r>
              <w:rPr>
                <w:rFonts w:hint="eastAsia"/>
                <w:lang w:val="en-US" w:eastAsia="zh-CN"/>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43"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总</w:t>
            </w:r>
            <w:r>
              <w:rPr>
                <w:rFonts w:hint="eastAsia"/>
                <w:lang w:val="en-US" w:eastAsia="zh-CN"/>
              </w:rPr>
              <w:br w:type="textWrapping"/>
            </w:r>
            <w:r>
              <w:rPr>
                <w:rFonts w:hint="eastAsia"/>
                <w:lang w:val="en-US" w:eastAsia="zh-CN"/>
              </w:rPr>
              <w:t>体</w:t>
            </w:r>
            <w:r>
              <w:rPr>
                <w:rFonts w:hint="eastAsia"/>
                <w:lang w:val="en-US" w:eastAsia="zh-CN"/>
              </w:rPr>
              <w:br w:type="textWrapping"/>
            </w:r>
            <w:r>
              <w:rPr>
                <w:rFonts w:hint="eastAsia"/>
                <w:lang w:val="en-US" w:eastAsia="zh-CN"/>
              </w:rPr>
              <w:t>目</w:t>
            </w:r>
            <w:r>
              <w:rPr>
                <w:rFonts w:hint="eastAsia"/>
                <w:lang w:val="en-US" w:eastAsia="zh-CN"/>
              </w:rPr>
              <w:br w:type="textWrapping"/>
            </w:r>
            <w:r>
              <w:rPr>
                <w:rFonts w:hint="eastAsia"/>
                <w:lang w:val="en-US" w:eastAsia="zh-CN"/>
              </w:rPr>
              <w:t>标</w:t>
            </w:r>
          </w:p>
        </w:tc>
        <w:tc>
          <w:tcPr>
            <w:tcW w:w="84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43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rPr>
            </w:pPr>
            <w:r>
              <w:rPr>
                <w:rFonts w:hint="eastAsia"/>
                <w:lang w:val="en-US" w:eastAsia="zh-CN"/>
              </w:rPr>
              <w:t>把红十字青少年活动与贯彻国家教育方针相结合，与学校的素质教育、德育教育和健康教育相结合，在学生中广泛开展红十字人道主义、爱国主义教育，创新方式方法，针对青少年不同年龄、不同知识层次，组织开展相应的自救互救知识竞赛、开展红十字青少年应急救护和开展各类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绩</w:t>
            </w:r>
            <w:r>
              <w:rPr>
                <w:rFonts w:hint="eastAsia"/>
                <w:lang w:val="en-US" w:eastAsia="zh-CN"/>
              </w:rPr>
              <w:br w:type="textWrapping"/>
            </w:r>
            <w:r>
              <w:rPr>
                <w:rFonts w:hint="eastAsia"/>
                <w:lang w:val="en-US" w:eastAsia="zh-CN"/>
              </w:rPr>
              <w:t>效</w:t>
            </w:r>
            <w:r>
              <w:rPr>
                <w:rFonts w:hint="eastAsia"/>
                <w:lang w:val="en-US" w:eastAsia="zh-CN"/>
              </w:rPr>
              <w:br w:type="textWrapping"/>
            </w:r>
            <w:r>
              <w:rPr>
                <w:rFonts w:hint="eastAsia"/>
                <w:lang w:val="en-US" w:eastAsia="zh-CN"/>
              </w:rPr>
              <w:t>指</w:t>
            </w:r>
            <w:r>
              <w:rPr>
                <w:rFonts w:hint="eastAsia"/>
                <w:lang w:val="en-US" w:eastAsia="zh-CN"/>
              </w:rPr>
              <w:br w:type="textWrapping"/>
            </w:r>
            <w:r>
              <w:rPr>
                <w:rFonts w:hint="eastAsia"/>
                <w:lang w:val="en-US" w:eastAsia="zh-CN"/>
              </w:rPr>
              <w:t>标</w:t>
            </w:r>
          </w:p>
        </w:tc>
        <w:tc>
          <w:tcPr>
            <w:tcW w:w="1145"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一级</w:t>
            </w:r>
            <w:r>
              <w:rPr>
                <w:rFonts w:hint="eastAsia"/>
                <w:lang w:val="en-US" w:eastAsia="zh-CN"/>
              </w:rPr>
              <w:br w:type="textWrapping"/>
            </w:r>
            <w:r>
              <w:rPr>
                <w:rFonts w:hint="eastAsia"/>
                <w:lang w:val="en-US" w:eastAsia="zh-CN"/>
              </w:rPr>
              <w:t>指标</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二级指标</w:t>
            </w: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三级指标</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项目完成</w:t>
            </w:r>
          </w:p>
        </w:tc>
        <w:tc>
          <w:tcPr>
            <w:tcW w:w="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数量指标</w:t>
            </w: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指标1：总会年度知识竞赛红十字青少年参加人数</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15000人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3"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指标2：组织实施红十字青少年项目</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1-2个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质量指标</w:t>
            </w: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指标1：全州红十字青少年试卷通过率</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指标2：项目通过率</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时效指标</w:t>
            </w: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指标1：参加总会年度知识竞赛完成时间</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2022年6月底前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9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指标2：红十字青少年项目完成时间</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2022年8月底前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成本指标</w:t>
            </w: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指标1：参加总会年度知识竞赛试卷购置费</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每张1元，合计1.8万元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指标2：红十字青少年项目经费</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指标3：资料打印等杂费</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5"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社会效益</w:t>
            </w:r>
            <w:r>
              <w:rPr>
                <w:rFonts w:hint="eastAsia"/>
                <w:lang w:val="en-US" w:eastAsia="zh-CN"/>
              </w:rPr>
              <w:br w:type="textWrapping"/>
            </w:r>
            <w:r>
              <w:rPr>
                <w:rFonts w:hint="eastAsia"/>
                <w:lang w:val="en-US" w:eastAsia="zh-CN"/>
              </w:rPr>
              <w:t>指标</w:t>
            </w: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指标1：红十字青少年对红十字运动、相关法律法规及自救、互救、他救知识的了解率</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60%以上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指标2：通过红十字青少年项目的实施，强化红十字青少年自救互救、艾滋病防治等能力。</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加强红十字青少年健康教育，传播人道理念，提高其应急处突能力，积极为红十字青少年交流、参与志愿服务搭建平台。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指标1：总会年度知识竞赛评比</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获奖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指标2：参与项目红十字青少年满意率</w:t>
            </w:r>
          </w:p>
        </w:tc>
        <w:tc>
          <w:tcPr>
            <w:tcW w:w="2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80%以上</w:t>
            </w:r>
          </w:p>
        </w:tc>
      </w:tr>
    </w:tbl>
    <w:p>
      <w:pPr>
        <w:spacing w:line="580" w:lineRule="exact"/>
        <w:rPr>
          <w:rFonts w:ascii="仿宋_GB2312" w:hAnsi="仿宋_GB2312" w:eastAsia="仿宋_GB2312" w:cs="仿宋_GB2312"/>
          <w:sz w:val="32"/>
          <w:szCs w:val="32"/>
        </w:rPr>
      </w:pPr>
    </w:p>
    <w:tbl>
      <w:tblPr>
        <w:tblStyle w:val="12"/>
        <w:tblW w:w="9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36"/>
        <w:gridCol w:w="968"/>
        <w:gridCol w:w="832"/>
        <w:gridCol w:w="3310"/>
        <w:gridCol w:w="27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9400" w:type="dxa"/>
            <w:gridSpan w:val="5"/>
            <w:tcBorders>
              <w:top w:val="nil"/>
              <w:left w:val="nil"/>
              <w:bottom w:val="nil"/>
              <w:right w:val="nil"/>
            </w:tcBorders>
            <w:shd w:val="clear" w:color="auto" w:fill="auto"/>
            <w:vAlign w:val="center"/>
          </w:tcPr>
          <w:p>
            <w:pPr>
              <w:jc w:val="center"/>
              <w:rPr>
                <w:rFonts w:hint="eastAsia"/>
              </w:rPr>
            </w:pPr>
            <w:r>
              <w:rPr>
                <w:rFonts w:hint="eastAsia" w:ascii="仿宋_GB2312" w:hAnsi="仿宋_GB2312" w:eastAsia="仿宋_GB2312" w:cs="仿宋_GB2312"/>
                <w:sz w:val="32"/>
                <w:szCs w:val="32"/>
                <w:lang w:val="en-US" w:eastAsia="zh-CN"/>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9400" w:type="dxa"/>
            <w:gridSpan w:val="5"/>
            <w:tcBorders>
              <w:top w:val="nil"/>
              <w:left w:val="nil"/>
              <w:bottom w:val="nil"/>
              <w:right w:val="nil"/>
            </w:tcBorders>
            <w:shd w:val="clear" w:color="auto" w:fill="auto"/>
            <w:vAlign w:val="center"/>
          </w:tcPr>
          <w:p>
            <w:pPr>
              <w:jc w:val="center"/>
              <w:rPr>
                <w:rFonts w:hint="eastAsia"/>
              </w:rPr>
            </w:pPr>
            <w:r>
              <w:rPr>
                <w:rFonts w:hint="eastAsia"/>
                <w:lang w:val="en-US" w:eastAsia="zh-CN"/>
              </w:rPr>
              <w:t>（</w:t>
            </w:r>
            <w:r>
              <w:rPr>
                <w:rFonts w:hint="default"/>
                <w:lang w:val="en-US" w:eastAsia="zh-CN"/>
              </w:rPr>
              <w:t xml:space="preserve">  2022</w:t>
            </w:r>
            <w:r>
              <w:rPr>
                <w:rFonts w:hint="eastAsia"/>
                <w:lang w:val="en-US" w:eastAsia="zh-CN"/>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3336"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项目名称</w:t>
            </w:r>
          </w:p>
        </w:tc>
        <w:tc>
          <w:tcPr>
            <w:tcW w:w="6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宣传费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3336"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预算单位</w:t>
            </w:r>
          </w:p>
        </w:tc>
        <w:tc>
          <w:tcPr>
            <w:tcW w:w="6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333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项目资金</w:t>
            </w:r>
            <w:r>
              <w:rPr>
                <w:rFonts w:hint="eastAsia"/>
                <w:lang w:val="en-US" w:eastAsia="zh-CN"/>
              </w:rPr>
              <w:br w:type="textWrapping"/>
            </w:r>
            <w:r>
              <w:rPr>
                <w:rFonts w:hint="eastAsia"/>
                <w:lang w:val="en-US" w:eastAsia="zh-CN"/>
              </w:rPr>
              <w:t>（万元）</w:t>
            </w:r>
          </w:p>
        </w:tc>
        <w:tc>
          <w:tcPr>
            <w:tcW w:w="6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年度资金总额：6万元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333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6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其中：财政拨款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333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6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总</w:t>
            </w:r>
            <w:r>
              <w:rPr>
                <w:rFonts w:hint="eastAsia"/>
                <w:lang w:val="en-US" w:eastAsia="zh-CN"/>
              </w:rPr>
              <w:br w:type="textWrapping"/>
            </w:r>
            <w:r>
              <w:rPr>
                <w:rFonts w:hint="eastAsia"/>
                <w:lang w:val="en-US" w:eastAsia="zh-CN"/>
              </w:rPr>
              <w:t>体</w:t>
            </w:r>
            <w:r>
              <w:rPr>
                <w:rFonts w:hint="eastAsia"/>
                <w:lang w:val="en-US" w:eastAsia="zh-CN"/>
              </w:rPr>
              <w:br w:type="textWrapping"/>
            </w:r>
            <w:r>
              <w:rPr>
                <w:rFonts w:hint="eastAsia"/>
                <w:lang w:val="en-US" w:eastAsia="zh-CN"/>
              </w:rPr>
              <w:t>目</w:t>
            </w:r>
            <w:r>
              <w:rPr>
                <w:rFonts w:hint="eastAsia"/>
                <w:lang w:val="en-US" w:eastAsia="zh-CN"/>
              </w:rPr>
              <w:br w:type="textWrapping"/>
            </w:r>
            <w:r>
              <w:rPr>
                <w:rFonts w:hint="eastAsia"/>
                <w:lang w:val="en-US" w:eastAsia="zh-CN"/>
              </w:rPr>
              <w:t>标</w:t>
            </w:r>
          </w:p>
        </w:tc>
        <w:tc>
          <w:tcPr>
            <w:tcW w:w="78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9"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864"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rPr>
            </w:pPr>
            <w:r>
              <w:rPr>
                <w:rFonts w:hint="eastAsia"/>
                <w:lang w:val="en-US" w:eastAsia="zh-CN"/>
              </w:rPr>
              <w:t>制作相关宣传广告、图文资料及音像视频等宣传品，进一步切实加大对红十字会应急救援、应急救护及人道救助等业务工作及援建项目、公益品牌活动宣传，不断创新宣传工作方式方法，全力构建红会大宣传格局，大力动员社会各界积极支持和参与红十字事业，进一步提升红十字会公信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绩</w:t>
            </w:r>
            <w:r>
              <w:rPr>
                <w:rFonts w:hint="eastAsia"/>
                <w:lang w:val="en-US" w:eastAsia="zh-CN"/>
              </w:rPr>
              <w:br w:type="textWrapping"/>
            </w:r>
            <w:r>
              <w:rPr>
                <w:rFonts w:hint="eastAsia"/>
                <w:lang w:val="en-US" w:eastAsia="zh-CN"/>
              </w:rPr>
              <w:t>效</w:t>
            </w:r>
            <w:r>
              <w:rPr>
                <w:rFonts w:hint="eastAsia"/>
                <w:lang w:val="en-US" w:eastAsia="zh-CN"/>
              </w:rPr>
              <w:br w:type="textWrapping"/>
            </w:r>
            <w:r>
              <w:rPr>
                <w:rFonts w:hint="eastAsia"/>
                <w:lang w:val="en-US" w:eastAsia="zh-CN"/>
              </w:rPr>
              <w:t>指</w:t>
            </w:r>
            <w:r>
              <w:rPr>
                <w:rFonts w:hint="eastAsia"/>
                <w:lang w:val="en-US" w:eastAsia="zh-CN"/>
              </w:rPr>
              <w:br w:type="textWrapping"/>
            </w:r>
            <w:r>
              <w:rPr>
                <w:rFonts w:hint="eastAsia"/>
                <w:lang w:val="en-US" w:eastAsia="zh-CN"/>
              </w:rPr>
              <w:t>标</w:t>
            </w:r>
          </w:p>
        </w:tc>
        <w:tc>
          <w:tcPr>
            <w:tcW w:w="968"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一级</w:t>
            </w:r>
            <w:r>
              <w:rPr>
                <w:rFonts w:hint="eastAsia"/>
                <w:lang w:val="en-US" w:eastAsia="zh-CN"/>
              </w:rPr>
              <w:br w:type="textWrapping"/>
            </w:r>
            <w:r>
              <w:rPr>
                <w:rFonts w:hint="eastAsia"/>
                <w:lang w:val="en-US" w:eastAsia="zh-CN"/>
              </w:rPr>
              <w:t>指标</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二级指标</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三级指标</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项目完成</w:t>
            </w: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数量指标</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指标1：制作宣传资料</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红十字知识宣传资料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指标2：制作宣传品</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红十字知识宣传品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质量指标</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 宣传资料</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彩色铜版纸、横幅等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指标2：宣传品</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符合国家、省、州相关标准，无毒无害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时效指标</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指标1：资料制作完成</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8月底前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指标2：宣传品制作完成</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6月底前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成本指标</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指标1：资料设计制作费</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指标2：宣传品制作费</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社会效益</w:t>
            </w:r>
            <w:r>
              <w:rPr>
                <w:rFonts w:hint="eastAsia"/>
                <w:lang w:val="en-US" w:eastAsia="zh-CN"/>
              </w:rPr>
              <w:br w:type="textWrapping"/>
            </w:r>
            <w:r>
              <w:rPr>
                <w:rFonts w:hint="eastAsia"/>
                <w:lang w:val="en-US" w:eastAsia="zh-CN"/>
              </w:rPr>
              <w:t>指标</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指标1：宣传资料</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提升红十字知识社会知晓率和普及率。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指标2：创新宣传方式</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提高社会对红十字运动的知晓率，引导爱心人士积极投身红十字事业。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指标1：宣传资料各级红十字会满意率</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33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指标2：宣传品会机关满意率</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80%以上</w:t>
            </w:r>
          </w:p>
        </w:tc>
      </w:tr>
    </w:tbl>
    <w:p>
      <w:pPr>
        <w:pStyle w:val="5"/>
        <w:rPr>
          <w:rFonts w:ascii="仿宋_GB2312" w:hAnsi="仿宋_GB2312" w:eastAsia="仿宋_GB2312" w:cs="仿宋_GB2312"/>
          <w:sz w:val="32"/>
          <w:szCs w:val="32"/>
        </w:rPr>
      </w:pPr>
    </w:p>
    <w:tbl>
      <w:tblPr>
        <w:tblStyle w:val="12"/>
        <w:tblW w:w="9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31"/>
        <w:gridCol w:w="1533"/>
        <w:gridCol w:w="1002"/>
        <w:gridCol w:w="2314"/>
        <w:gridCol w:w="2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9100" w:type="dxa"/>
            <w:gridSpan w:val="5"/>
            <w:tcBorders>
              <w:top w:val="nil"/>
              <w:left w:val="nil"/>
              <w:bottom w:val="nil"/>
              <w:right w:val="nil"/>
            </w:tcBorders>
            <w:shd w:val="clear" w:color="auto" w:fill="auto"/>
            <w:vAlign w:val="center"/>
          </w:tcPr>
          <w:p>
            <w:pPr>
              <w:jc w:val="center"/>
              <w:rPr>
                <w:rFonts w:hint="eastAsia" w:ascii="仿宋_GB2312" w:hAnsi="仿宋_GB2312" w:eastAsia="仿宋_GB2312" w:cs="仿宋_GB2312"/>
                <w:sz w:val="32"/>
                <w:szCs w:val="32"/>
                <w:lang w:val="en-US" w:eastAsia="zh-CN"/>
              </w:rPr>
            </w:pPr>
          </w:p>
          <w:p>
            <w:pPr>
              <w:jc w:val="center"/>
              <w:rPr>
                <w:rFonts w:hint="eastAsia"/>
              </w:rPr>
            </w:pPr>
            <w:r>
              <w:rPr>
                <w:rFonts w:hint="eastAsia" w:ascii="仿宋_GB2312" w:hAnsi="仿宋_GB2312" w:eastAsia="仿宋_GB2312" w:cs="仿宋_GB2312"/>
                <w:sz w:val="32"/>
                <w:szCs w:val="32"/>
                <w:lang w:val="en-US" w:eastAsia="zh-CN"/>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9100" w:type="dxa"/>
            <w:gridSpan w:val="5"/>
            <w:tcBorders>
              <w:top w:val="nil"/>
              <w:left w:val="nil"/>
              <w:bottom w:val="nil"/>
              <w:right w:val="nil"/>
            </w:tcBorders>
            <w:shd w:val="clear" w:color="auto" w:fill="auto"/>
            <w:vAlign w:val="center"/>
          </w:tcPr>
          <w:p>
            <w:pPr>
              <w:jc w:val="center"/>
              <w:rPr>
                <w:rFonts w:hint="eastAsia"/>
              </w:rPr>
            </w:pPr>
            <w:r>
              <w:rPr>
                <w:rFonts w:hint="eastAsia"/>
                <w:lang w:val="en-US" w:eastAsia="zh-CN"/>
              </w:rPr>
              <w:t>（</w:t>
            </w:r>
            <w:r>
              <w:rPr>
                <w:rFonts w:hint="default"/>
                <w:lang w:val="en-US" w:eastAsia="zh-CN"/>
              </w:rPr>
              <w:t xml:space="preserve">  2022</w:t>
            </w:r>
            <w:r>
              <w:rPr>
                <w:rFonts w:hint="eastAsia"/>
                <w:lang w:val="en-US" w:eastAsia="zh-CN"/>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4166"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项目名称</w:t>
            </w:r>
          </w:p>
        </w:tc>
        <w:tc>
          <w:tcPr>
            <w:tcW w:w="4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组织志愿者培训及队伍建设项目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5" w:hRule="atLeast"/>
        </w:trPr>
        <w:tc>
          <w:tcPr>
            <w:tcW w:w="4166"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预算单位</w:t>
            </w:r>
          </w:p>
        </w:tc>
        <w:tc>
          <w:tcPr>
            <w:tcW w:w="4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416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项目资金</w:t>
            </w:r>
            <w:r>
              <w:rPr>
                <w:rFonts w:hint="eastAsia"/>
                <w:lang w:val="en-US" w:eastAsia="zh-CN"/>
              </w:rPr>
              <w:br w:type="textWrapping"/>
            </w:r>
            <w:r>
              <w:rPr>
                <w:rFonts w:hint="eastAsia"/>
                <w:lang w:val="en-US" w:eastAsia="zh-CN"/>
              </w:rPr>
              <w:t>（万元）</w:t>
            </w:r>
          </w:p>
        </w:tc>
        <w:tc>
          <w:tcPr>
            <w:tcW w:w="4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年度资金总额：3万元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416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4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其中：财政拨款：3万元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416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4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5" w:hRule="atLeast"/>
        </w:trPr>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总</w:t>
            </w:r>
            <w:r>
              <w:rPr>
                <w:rFonts w:hint="eastAsia"/>
                <w:lang w:val="en-US" w:eastAsia="zh-CN"/>
              </w:rPr>
              <w:br w:type="textWrapping"/>
            </w:r>
            <w:r>
              <w:rPr>
                <w:rFonts w:hint="eastAsia"/>
                <w:lang w:val="en-US" w:eastAsia="zh-CN"/>
              </w:rPr>
              <w:t>体</w:t>
            </w:r>
            <w:r>
              <w:rPr>
                <w:rFonts w:hint="eastAsia"/>
                <w:lang w:val="en-US" w:eastAsia="zh-CN"/>
              </w:rPr>
              <w:br w:type="textWrapping"/>
            </w:r>
            <w:r>
              <w:rPr>
                <w:rFonts w:hint="eastAsia"/>
                <w:lang w:val="en-US" w:eastAsia="zh-CN"/>
              </w:rPr>
              <w:t>目</w:t>
            </w:r>
            <w:r>
              <w:rPr>
                <w:rFonts w:hint="eastAsia"/>
                <w:lang w:val="en-US" w:eastAsia="zh-CN"/>
              </w:rPr>
              <w:br w:type="textWrapping"/>
            </w:r>
            <w:r>
              <w:rPr>
                <w:rFonts w:hint="eastAsia"/>
                <w:lang w:val="en-US" w:eastAsia="zh-CN"/>
              </w:rPr>
              <w:t>标</w:t>
            </w:r>
          </w:p>
        </w:tc>
        <w:tc>
          <w:tcPr>
            <w:tcW w:w="74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6" w:hRule="atLeast"/>
        </w:trPr>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469"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rPr>
            </w:pPr>
            <w:r>
              <w:rPr>
                <w:rFonts w:hint="eastAsia"/>
                <w:lang w:val="en-US" w:eastAsia="zh-CN"/>
              </w:rPr>
              <w:t>促进红十字会员、志愿者对红十字精神及工作业务的了解，培养一批既有社会爱心又具有一定服务能力的红十字会员、志愿服务人员，打造阿坝州红十字爱心团队，开展会员、志愿者培训，进一步拓展红十字业务辐射范围，提高红十字知晓率，为我州弱势困难群体服务，为“五个”阿坝建设作贡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绩</w:t>
            </w:r>
            <w:r>
              <w:rPr>
                <w:rFonts w:hint="eastAsia"/>
                <w:lang w:val="en-US" w:eastAsia="zh-CN"/>
              </w:rPr>
              <w:br w:type="textWrapping"/>
            </w:r>
            <w:r>
              <w:rPr>
                <w:rFonts w:hint="eastAsia"/>
                <w:lang w:val="en-US" w:eastAsia="zh-CN"/>
              </w:rPr>
              <w:t>效</w:t>
            </w:r>
            <w:r>
              <w:rPr>
                <w:rFonts w:hint="eastAsia"/>
                <w:lang w:val="en-US" w:eastAsia="zh-CN"/>
              </w:rPr>
              <w:br w:type="textWrapping"/>
            </w:r>
            <w:r>
              <w:rPr>
                <w:rFonts w:hint="eastAsia"/>
                <w:lang w:val="en-US" w:eastAsia="zh-CN"/>
              </w:rPr>
              <w:t>指</w:t>
            </w:r>
            <w:r>
              <w:rPr>
                <w:rFonts w:hint="eastAsia"/>
                <w:lang w:val="en-US" w:eastAsia="zh-CN"/>
              </w:rPr>
              <w:br w:type="textWrapping"/>
            </w:r>
            <w:r>
              <w:rPr>
                <w:rFonts w:hint="eastAsia"/>
                <w:lang w:val="en-US" w:eastAsia="zh-CN"/>
              </w:rPr>
              <w:t>标</w:t>
            </w:r>
          </w:p>
        </w:tc>
        <w:tc>
          <w:tcPr>
            <w:tcW w:w="1533"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一级</w:t>
            </w:r>
            <w:r>
              <w:rPr>
                <w:rFonts w:hint="eastAsia"/>
                <w:lang w:val="en-US" w:eastAsia="zh-CN"/>
              </w:rPr>
              <w:br w:type="textWrapping"/>
            </w:r>
            <w:r>
              <w:rPr>
                <w:rFonts w:hint="eastAsia"/>
                <w:lang w:val="en-US" w:eastAsia="zh-CN"/>
              </w:rPr>
              <w:t>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二级指标</w:t>
            </w:r>
          </w:p>
        </w:tc>
        <w:tc>
          <w:tcPr>
            <w:tcW w:w="2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三级指标</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项目完成</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数量指标</w:t>
            </w:r>
          </w:p>
        </w:tc>
        <w:tc>
          <w:tcPr>
            <w:tcW w:w="2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指标1：红十字志愿服务队建设</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1-2支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02" w:hRule="atLeast"/>
        </w:trPr>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质量指标</w:t>
            </w:r>
          </w:p>
        </w:tc>
        <w:tc>
          <w:tcPr>
            <w:tcW w:w="2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指标1：符合国家、省、州相关软、硬件质量等要求</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时效指标</w:t>
            </w:r>
          </w:p>
        </w:tc>
        <w:tc>
          <w:tcPr>
            <w:tcW w:w="2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指标1：完成时间</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2022年9月底前完成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社会效益</w:t>
            </w:r>
            <w:r>
              <w:rPr>
                <w:rFonts w:hint="eastAsia"/>
                <w:lang w:val="en-US" w:eastAsia="zh-CN"/>
              </w:rPr>
              <w:br w:type="textWrapping"/>
            </w:r>
            <w:r>
              <w:rPr>
                <w:rFonts w:hint="eastAsia"/>
                <w:lang w:val="en-US" w:eastAsia="zh-CN"/>
              </w:rPr>
              <w:t>指标</w:t>
            </w:r>
          </w:p>
        </w:tc>
        <w:tc>
          <w:tcPr>
            <w:tcW w:w="2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指标1：打造一支既有社会爱心又具有一定服务能力的红十字会员、志愿服务队，打造红十字爱心团队效益。</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适时开展志愿服务，帮扶我州弱势困难群众，助力新时代稳州兴州事业再上新台阶。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可持续影响</w:t>
            </w:r>
            <w:r>
              <w:rPr>
                <w:rFonts w:hint="eastAsia"/>
                <w:lang w:val="en-US" w:eastAsia="zh-CN"/>
              </w:rPr>
              <w:br w:type="textWrapping"/>
            </w:r>
            <w:r>
              <w:rPr>
                <w:rFonts w:hint="eastAsia"/>
                <w:lang w:val="en-US" w:eastAsia="zh-CN"/>
              </w:rPr>
              <w:t>指标</w:t>
            </w:r>
          </w:p>
        </w:tc>
        <w:tc>
          <w:tcPr>
            <w:tcW w:w="2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指标1：注册志愿者增加数</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年增加50人以上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5" w:hRule="atLeast"/>
        </w:trPr>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2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指标1：志愿者满意度</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80%以上</w:t>
            </w:r>
          </w:p>
        </w:tc>
      </w:tr>
    </w:tbl>
    <w:p>
      <w:pPr>
        <w:pStyle w:val="5"/>
        <w:rPr>
          <w:rFonts w:ascii="仿宋_GB2312" w:hAnsi="仿宋_GB2312" w:eastAsia="仿宋_GB2312" w:cs="仿宋_GB2312"/>
          <w:sz w:val="32"/>
          <w:szCs w:val="32"/>
        </w:rPr>
      </w:pPr>
    </w:p>
    <w:tbl>
      <w:tblPr>
        <w:tblStyle w:val="12"/>
        <w:tblW w:w="8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
        <w:gridCol w:w="723"/>
        <w:gridCol w:w="1405"/>
        <w:gridCol w:w="1356"/>
        <w:gridCol w:w="46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8420" w:type="dxa"/>
            <w:gridSpan w:val="5"/>
            <w:tcBorders>
              <w:top w:val="nil"/>
              <w:left w:val="nil"/>
              <w:bottom w:val="nil"/>
              <w:right w:val="nil"/>
            </w:tcBorders>
            <w:shd w:val="clear" w:color="auto" w:fill="auto"/>
            <w:vAlign w:val="center"/>
          </w:tcPr>
          <w:p>
            <w:pPr>
              <w:jc w:val="center"/>
              <w:rPr>
                <w:rFonts w:hint="eastAsia"/>
              </w:rPr>
            </w:pPr>
            <w:r>
              <w:rPr>
                <w:rFonts w:hint="eastAsia" w:ascii="仿宋_GB2312" w:hAnsi="仿宋_GB2312" w:eastAsia="仿宋_GB2312" w:cs="仿宋_GB2312"/>
                <w:sz w:val="32"/>
                <w:szCs w:val="32"/>
                <w:lang w:val="en-US" w:eastAsia="zh-CN"/>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8420" w:type="dxa"/>
            <w:gridSpan w:val="5"/>
            <w:tcBorders>
              <w:top w:val="nil"/>
              <w:left w:val="nil"/>
              <w:bottom w:val="nil"/>
              <w:right w:val="nil"/>
            </w:tcBorders>
            <w:shd w:val="clear" w:color="auto" w:fill="auto"/>
            <w:vAlign w:val="center"/>
          </w:tcPr>
          <w:p>
            <w:pPr>
              <w:jc w:val="center"/>
              <w:rPr>
                <w:rFonts w:hint="eastAsia"/>
              </w:rPr>
            </w:pPr>
            <w:r>
              <w:rPr>
                <w:rFonts w:hint="eastAsia"/>
                <w:lang w:val="en-US" w:eastAsia="zh-CN"/>
              </w:rPr>
              <w:t>（2022年度）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450"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项目名称</w:t>
            </w:r>
          </w:p>
        </w:tc>
        <w:tc>
          <w:tcPr>
            <w:tcW w:w="5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阿坝州备灾应急中心维修（护）物资运输仓储及管理等运行经费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2450"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预算单位</w:t>
            </w:r>
          </w:p>
        </w:tc>
        <w:tc>
          <w:tcPr>
            <w:tcW w:w="5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245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项目资金</w:t>
            </w:r>
            <w:r>
              <w:rPr>
                <w:rFonts w:hint="eastAsia"/>
                <w:lang w:val="en-US" w:eastAsia="zh-CN"/>
              </w:rPr>
              <w:br w:type="textWrapping"/>
            </w:r>
            <w:r>
              <w:rPr>
                <w:rFonts w:hint="eastAsia"/>
                <w:lang w:val="en-US" w:eastAsia="zh-CN"/>
              </w:rPr>
              <w:t>（万元）</w:t>
            </w:r>
          </w:p>
        </w:tc>
        <w:tc>
          <w:tcPr>
            <w:tcW w:w="5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rPr>
            </w:pPr>
            <w:r>
              <w:rPr>
                <w:rFonts w:hint="eastAsia"/>
                <w:lang w:val="en-US" w:eastAsia="zh-CN"/>
              </w:rPr>
              <w:t>年度资金总额：18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 w:hRule="atLeast"/>
        </w:trPr>
        <w:tc>
          <w:tcPr>
            <w:tcW w:w="24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5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lang w:val="en-US"/>
              </w:rPr>
            </w:pPr>
            <w:r>
              <w:rPr>
                <w:rFonts w:hint="eastAsia"/>
                <w:lang w:val="en-US" w:eastAsia="zh-CN"/>
              </w:rPr>
              <w:t>其中：财政拨款18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24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59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 w:hRule="atLeast"/>
        </w:trPr>
        <w:tc>
          <w:tcPr>
            <w:tcW w:w="3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总</w:t>
            </w:r>
            <w:r>
              <w:rPr>
                <w:rFonts w:hint="eastAsia"/>
                <w:lang w:val="en-US" w:eastAsia="zh-CN"/>
              </w:rPr>
              <w:br w:type="textWrapping"/>
            </w:r>
            <w:r>
              <w:rPr>
                <w:rFonts w:hint="eastAsia"/>
                <w:lang w:val="en-US" w:eastAsia="zh-CN"/>
              </w:rPr>
              <w:t>体</w:t>
            </w:r>
            <w:r>
              <w:rPr>
                <w:rFonts w:hint="eastAsia"/>
                <w:lang w:val="en-US" w:eastAsia="zh-CN"/>
              </w:rPr>
              <w:br w:type="textWrapping"/>
            </w:r>
            <w:r>
              <w:rPr>
                <w:rFonts w:hint="eastAsia"/>
                <w:lang w:val="en-US" w:eastAsia="zh-CN"/>
              </w:rPr>
              <w:t>目</w:t>
            </w:r>
            <w:r>
              <w:rPr>
                <w:rFonts w:hint="eastAsia"/>
                <w:lang w:val="en-US" w:eastAsia="zh-CN"/>
              </w:rPr>
              <w:br w:type="textWrapping"/>
            </w:r>
            <w:r>
              <w:rPr>
                <w:rFonts w:hint="eastAsia"/>
                <w:lang w:val="en-US" w:eastAsia="zh-CN"/>
              </w:rPr>
              <w:t>标</w:t>
            </w:r>
          </w:p>
        </w:tc>
        <w:tc>
          <w:tcPr>
            <w:tcW w:w="80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0" w:hRule="atLeast"/>
        </w:trPr>
        <w:tc>
          <w:tcPr>
            <w:tcW w:w="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098"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rPr>
            </w:pPr>
            <w:r>
              <w:rPr>
                <w:rFonts w:hint="eastAsia"/>
                <w:lang w:val="en-US" w:eastAsia="zh-CN"/>
              </w:rPr>
              <w:t>为提高阿坝州红十字会救灾、救护、救助、救援和行政能力，弘扬红十字“人道、博爱、奉献”精神。保障阿坝州红十字会备灾应急中心的仓库物资保管、园林绿化、志愿者救援队后勤保障、物资运输装卸、排污治污及消防、电梯、安防消洗设备、房屋及设施维修（护）等经费，因我会被评定为二级备灾物资储备库单位，近年来省红十字会和中国红十字总会加大物资储备，人员运输费用及工人装卸费用增加及按照平安马尔康建设领导小组文件《关于印发马尔康省级智慧平安小区建设工作方案的通知》平安马尔康〔2021〕4号文件要求，因省级智慧平安小区创建工作无专门经费，各机关单位从本单位经费中列支或自筹资金，加之我会2021年新建应急救护培训基地（生命安全健康体验馆）已经开始运行，2022年将产生电费、清洁费、维修费等日常维护费用，故增加6万元运行维护费，更好推动全州红十字会事业健康高效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3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绩</w:t>
            </w:r>
            <w:r>
              <w:rPr>
                <w:rFonts w:hint="eastAsia"/>
                <w:lang w:val="en-US" w:eastAsia="zh-CN"/>
              </w:rPr>
              <w:br w:type="textWrapping"/>
            </w:r>
            <w:r>
              <w:rPr>
                <w:rFonts w:hint="eastAsia"/>
                <w:lang w:val="en-US" w:eastAsia="zh-CN"/>
              </w:rPr>
              <w:t>效</w:t>
            </w:r>
            <w:r>
              <w:rPr>
                <w:rFonts w:hint="eastAsia"/>
                <w:lang w:val="en-US" w:eastAsia="zh-CN"/>
              </w:rPr>
              <w:br w:type="textWrapping"/>
            </w:r>
            <w:r>
              <w:rPr>
                <w:rFonts w:hint="eastAsia"/>
                <w:lang w:val="en-US" w:eastAsia="zh-CN"/>
              </w:rPr>
              <w:t>指</w:t>
            </w:r>
            <w:r>
              <w:rPr>
                <w:rFonts w:hint="eastAsia"/>
                <w:lang w:val="en-US" w:eastAsia="zh-CN"/>
              </w:rPr>
              <w:br w:type="textWrapping"/>
            </w:r>
            <w:r>
              <w:rPr>
                <w:rFonts w:hint="eastAsia"/>
                <w:lang w:val="en-US" w:eastAsia="zh-CN"/>
              </w:rPr>
              <w:t>标</w:t>
            </w:r>
          </w:p>
        </w:tc>
        <w:tc>
          <w:tcPr>
            <w:tcW w:w="723"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一级</w:t>
            </w:r>
            <w:r>
              <w:rPr>
                <w:rFonts w:hint="eastAsia"/>
                <w:lang w:val="en-US" w:eastAsia="zh-CN"/>
              </w:rPr>
              <w:br w:type="textWrapping"/>
            </w:r>
            <w:r>
              <w:rPr>
                <w:rFonts w:hint="eastAsia"/>
                <w:lang w:val="en-US" w:eastAsia="zh-CN"/>
              </w:rPr>
              <w:t>指标</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二级指标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三级指标</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23" w:type="dxa"/>
            <w:vMerge w:val="restar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项目完成</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数量指标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指标1：安防保洁</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满足4651.77平方米备灾应急中心安全防范与卫生保洁、排污治污、园林绿化，不出现任何安全责任事故、24小时整洁、环境美观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2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405" w:type="dxa"/>
            <w:vMerge w:val="restart"/>
            <w:tcBorders>
              <w:top w:val="nil"/>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质量指标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指标1：仓库物资保管</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保障物资的科学化管理与保护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2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405"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指标2：维保维护维修</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确保4651.77平方米备灾应急中心的消防、电梯、消洗、安防、防雷改造、房屋及设施的日常维保、维护、维修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2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405"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指标3：物资运输装卸</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确保物资调度，保障救灾、救援物资及时、安全的运送到灾区群众手中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项目效益</w:t>
            </w:r>
          </w:p>
        </w:tc>
        <w:tc>
          <w:tcPr>
            <w:tcW w:w="1405"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经济效益</w:t>
            </w:r>
            <w:r>
              <w:rPr>
                <w:rFonts w:hint="eastAsia"/>
                <w:lang w:val="en-US" w:eastAsia="zh-CN"/>
              </w:rPr>
              <w:br w:type="textWrapping"/>
            </w:r>
            <w:r>
              <w:rPr>
                <w:rFonts w:hint="eastAsia"/>
                <w:lang w:val="en-US" w:eastAsia="zh-CN"/>
              </w:rPr>
              <w:t>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指标1：仓库物资保管</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能保障社会捐赠和财政支持物资的防潮、防虫等，避免造成经济损失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05"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社会效益</w:t>
            </w:r>
            <w:r>
              <w:rPr>
                <w:rFonts w:hint="eastAsia"/>
                <w:lang w:val="en-US" w:eastAsia="zh-CN"/>
              </w:rPr>
              <w:br w:type="textWrapping"/>
            </w:r>
            <w:r>
              <w:rPr>
                <w:rFonts w:hint="eastAsia"/>
                <w:lang w:val="en-US" w:eastAsia="zh-CN"/>
              </w:rPr>
              <w:t>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指标1：物资运输装卸</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能保障灾害发生时救灾、救援物资能及时、安全的运送到灾区群众手中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指标2：维保维护维修</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消防、电梯、消洗、安防设备、房屋及设施正常运转，没有资产损坏，设备没有功能失效的情况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23"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1405"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指标1：仓库物资保管</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备灾仓库物资保管科学有序、不出问题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 w:hRule="atLeast"/>
        </w:trPr>
        <w:tc>
          <w:tcPr>
            <w:tcW w:w="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2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0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指标3：物资运输装卸</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210" w:firstLineChars="100"/>
              <w:jc w:val="both"/>
              <w:rPr>
                <w:rFonts w:hint="eastAsia"/>
              </w:rPr>
            </w:pPr>
            <w:r>
              <w:rPr>
                <w:rFonts w:hint="eastAsia"/>
                <w:lang w:val="en-US" w:eastAsia="zh-CN"/>
              </w:rPr>
              <w:t>救灾、救援物资能第一时间送到灾区</w:t>
            </w:r>
          </w:p>
        </w:tc>
      </w:tr>
    </w:tbl>
    <w:p>
      <w:pPr>
        <w:spacing w:line="580" w:lineRule="exact"/>
        <w:rPr>
          <w:rFonts w:ascii="仿宋_GB2312" w:hAnsi="仿宋_GB2312" w:eastAsia="仿宋_GB2312" w:cs="仿宋_GB2312"/>
          <w:sz w:val="32"/>
          <w:szCs w:val="32"/>
        </w:rPr>
      </w:pPr>
    </w:p>
    <w:tbl>
      <w:tblPr>
        <w:tblStyle w:val="12"/>
        <w:tblW w:w="8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0"/>
        <w:gridCol w:w="1422"/>
        <w:gridCol w:w="1282"/>
        <w:gridCol w:w="1609"/>
        <w:gridCol w:w="29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3" w:hRule="atLeast"/>
        </w:trPr>
        <w:tc>
          <w:tcPr>
            <w:tcW w:w="8120" w:type="dxa"/>
            <w:gridSpan w:val="5"/>
            <w:tcBorders>
              <w:top w:val="nil"/>
              <w:left w:val="nil"/>
              <w:bottom w:val="nil"/>
              <w:right w:val="nil"/>
            </w:tcBorders>
            <w:shd w:val="clear" w:color="auto" w:fill="auto"/>
            <w:vAlign w:val="center"/>
          </w:tcPr>
          <w:p>
            <w:pPr>
              <w:jc w:val="center"/>
              <w:rPr>
                <w:rFonts w:hint="eastAsia"/>
              </w:rPr>
            </w:pPr>
            <w:r>
              <w:rPr>
                <w:rFonts w:hint="eastAsia" w:ascii="仿宋_GB2312" w:hAnsi="仿宋_GB2312" w:eastAsia="仿宋_GB2312" w:cs="仿宋_GB2312"/>
                <w:sz w:val="32"/>
                <w:szCs w:val="32"/>
                <w:lang w:val="en-US" w:eastAsia="zh-CN"/>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 w:hRule="atLeast"/>
        </w:trPr>
        <w:tc>
          <w:tcPr>
            <w:tcW w:w="8120" w:type="dxa"/>
            <w:gridSpan w:val="5"/>
            <w:tcBorders>
              <w:top w:val="nil"/>
              <w:left w:val="nil"/>
              <w:bottom w:val="nil"/>
              <w:right w:val="nil"/>
            </w:tcBorders>
            <w:shd w:val="clear" w:color="auto" w:fill="auto"/>
            <w:vAlign w:val="center"/>
          </w:tcPr>
          <w:p>
            <w:pPr>
              <w:jc w:val="center"/>
              <w:rPr>
                <w:rFonts w:hint="eastAsia"/>
              </w:rPr>
            </w:pPr>
            <w:r>
              <w:rPr>
                <w:rFonts w:hint="eastAsia"/>
                <w:lang w:val="en-US" w:eastAsia="zh-CN"/>
              </w:rPr>
              <w:t>（2022</w:t>
            </w:r>
            <w:r>
              <w:rPr>
                <w:rFonts w:hint="default"/>
                <w:lang w:val="en-US" w:eastAsia="zh-CN"/>
              </w:rPr>
              <w:t xml:space="preserve"> </w:t>
            </w:r>
            <w:r>
              <w:rPr>
                <w:rFonts w:hint="eastAsia"/>
                <w:lang w:val="en-US" w:eastAsia="zh-CN"/>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554"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项目名称</w:t>
            </w:r>
          </w:p>
        </w:tc>
        <w:tc>
          <w:tcPr>
            <w:tcW w:w="45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阿坝州备灾应急中心升级维护费用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54"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预算单位</w:t>
            </w:r>
          </w:p>
        </w:tc>
        <w:tc>
          <w:tcPr>
            <w:tcW w:w="45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355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项目资金</w:t>
            </w:r>
            <w:r>
              <w:rPr>
                <w:rFonts w:hint="eastAsia"/>
                <w:lang w:val="en-US" w:eastAsia="zh-CN"/>
              </w:rPr>
              <w:br w:type="textWrapping"/>
            </w:r>
            <w:r>
              <w:rPr>
                <w:rFonts w:hint="eastAsia"/>
                <w:lang w:val="en-US" w:eastAsia="zh-CN"/>
              </w:rPr>
              <w:t>（万元）</w:t>
            </w:r>
          </w:p>
        </w:tc>
        <w:tc>
          <w:tcPr>
            <w:tcW w:w="45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年度资金总额：40万元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355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45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其中：财政拨款 40万元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355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45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总</w:t>
            </w:r>
            <w:r>
              <w:rPr>
                <w:rFonts w:hint="eastAsia"/>
                <w:lang w:val="en-US" w:eastAsia="zh-CN"/>
              </w:rPr>
              <w:br w:type="textWrapping"/>
            </w:r>
            <w:r>
              <w:rPr>
                <w:rFonts w:hint="eastAsia"/>
                <w:lang w:val="en-US" w:eastAsia="zh-CN"/>
              </w:rPr>
              <w:t>体</w:t>
            </w:r>
            <w:r>
              <w:rPr>
                <w:rFonts w:hint="eastAsia"/>
                <w:lang w:val="en-US" w:eastAsia="zh-CN"/>
              </w:rPr>
              <w:br w:type="textWrapping"/>
            </w:r>
            <w:r>
              <w:rPr>
                <w:rFonts w:hint="eastAsia"/>
                <w:lang w:val="en-US" w:eastAsia="zh-CN"/>
              </w:rPr>
              <w:t>目</w:t>
            </w:r>
            <w:r>
              <w:rPr>
                <w:rFonts w:hint="eastAsia"/>
                <w:lang w:val="en-US" w:eastAsia="zh-CN"/>
              </w:rPr>
              <w:br w:type="textWrapping"/>
            </w:r>
            <w:r>
              <w:rPr>
                <w:rFonts w:hint="eastAsia"/>
                <w:lang w:val="en-US" w:eastAsia="zh-CN"/>
              </w:rPr>
              <w:t>标</w:t>
            </w:r>
          </w:p>
        </w:tc>
        <w:tc>
          <w:tcPr>
            <w:tcW w:w="7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6"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727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rPr>
            </w:pPr>
            <w:r>
              <w:rPr>
                <w:rFonts w:hint="eastAsia"/>
                <w:lang w:val="en-US" w:eastAsia="zh-CN"/>
              </w:rPr>
              <w:t>我会备灾应急中心所处阴山，冬天温度特别低，近年来因受气温影响水管多次爆裂，造成堡坎浸泡多处开裂;修建时备灾应急中心周边人流量少，使用的是栅栏式围墙，今年邻备灾应急中心修建了民营医院，且靠近中心一面未修建围墙，存在安全隐患。确保备灾应急物资安全，更好地发挥红十字会备灾应急物资安全，增强我州防灾应急能力建设，提高备灾应急中心应急防灾硬件水平，保障救灾物资储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绩</w:t>
            </w:r>
            <w:r>
              <w:rPr>
                <w:rFonts w:hint="eastAsia"/>
                <w:lang w:val="en-US" w:eastAsia="zh-CN"/>
              </w:rPr>
              <w:br w:type="textWrapping"/>
            </w:r>
            <w:r>
              <w:rPr>
                <w:rFonts w:hint="eastAsia"/>
                <w:lang w:val="en-US" w:eastAsia="zh-CN"/>
              </w:rPr>
              <w:t>效</w:t>
            </w:r>
            <w:r>
              <w:rPr>
                <w:rFonts w:hint="eastAsia"/>
                <w:lang w:val="en-US" w:eastAsia="zh-CN"/>
              </w:rPr>
              <w:br w:type="textWrapping"/>
            </w:r>
            <w:r>
              <w:rPr>
                <w:rFonts w:hint="eastAsia"/>
                <w:lang w:val="en-US" w:eastAsia="zh-CN"/>
              </w:rPr>
              <w:t>指</w:t>
            </w:r>
            <w:r>
              <w:rPr>
                <w:rFonts w:hint="eastAsia"/>
                <w:lang w:val="en-US" w:eastAsia="zh-CN"/>
              </w:rPr>
              <w:br w:type="textWrapping"/>
            </w:r>
            <w:r>
              <w:rPr>
                <w:rFonts w:hint="eastAsia"/>
                <w:lang w:val="en-US" w:eastAsia="zh-CN"/>
              </w:rPr>
              <w:t>标</w:t>
            </w:r>
          </w:p>
        </w:tc>
        <w:tc>
          <w:tcPr>
            <w:tcW w:w="1422"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一级</w:t>
            </w:r>
            <w:r>
              <w:rPr>
                <w:rFonts w:hint="eastAsia"/>
                <w:lang w:val="en-US" w:eastAsia="zh-CN"/>
              </w:rPr>
              <w:br w:type="textWrapping"/>
            </w:r>
            <w:r>
              <w:rPr>
                <w:rFonts w:hint="eastAsia"/>
                <w:lang w:val="en-US" w:eastAsia="zh-CN"/>
              </w:rPr>
              <w:t>指标</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二级指标</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三级指标</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9"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22"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质量指标</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指标1：应急物资安全</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提高仓库安全性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2"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282"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指标2：备灾仓库能力提升</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增强备灾仓库抗灾减灾能力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2"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指标1：社会各界对红十字工作的认可度</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80%以上</w:t>
            </w:r>
          </w:p>
        </w:tc>
      </w:tr>
    </w:tbl>
    <w:p>
      <w:pPr>
        <w:pStyle w:val="5"/>
      </w:pPr>
    </w:p>
    <w:tbl>
      <w:tblPr>
        <w:tblStyle w:val="12"/>
        <w:tblW w:w="9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1"/>
        <w:gridCol w:w="991"/>
        <w:gridCol w:w="991"/>
        <w:gridCol w:w="2809"/>
        <w:gridCol w:w="36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460" w:type="dxa"/>
            <w:gridSpan w:val="5"/>
            <w:tcBorders>
              <w:top w:val="nil"/>
              <w:left w:val="nil"/>
              <w:bottom w:val="nil"/>
              <w:right w:val="nil"/>
            </w:tcBorders>
            <w:shd w:val="clear" w:color="auto" w:fill="auto"/>
            <w:vAlign w:val="center"/>
          </w:tcPr>
          <w:p>
            <w:pPr>
              <w:jc w:val="center"/>
              <w:rPr>
                <w:rFonts w:hint="eastAsia"/>
              </w:rPr>
            </w:pPr>
            <w:r>
              <w:rPr>
                <w:rFonts w:hint="eastAsia" w:ascii="仿宋_GB2312" w:hAnsi="仿宋_GB2312" w:eastAsia="仿宋_GB2312" w:cs="仿宋_GB2312"/>
                <w:sz w:val="32"/>
                <w:szCs w:val="32"/>
                <w:lang w:val="en-US" w:eastAsia="zh-CN"/>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460" w:type="dxa"/>
            <w:gridSpan w:val="5"/>
            <w:tcBorders>
              <w:top w:val="nil"/>
              <w:left w:val="nil"/>
              <w:bottom w:val="nil"/>
              <w:right w:val="nil"/>
            </w:tcBorders>
            <w:shd w:val="clear" w:color="auto" w:fill="auto"/>
            <w:vAlign w:val="center"/>
          </w:tcPr>
          <w:p>
            <w:pPr>
              <w:jc w:val="center"/>
              <w:rPr>
                <w:rFonts w:hint="eastAsia"/>
              </w:rPr>
            </w:pPr>
            <w:r>
              <w:rPr>
                <w:rFonts w:hint="eastAsia"/>
                <w:lang w:val="en-US" w:eastAsia="zh-CN"/>
              </w:rPr>
              <w:t>（</w:t>
            </w:r>
            <w:r>
              <w:rPr>
                <w:rFonts w:hint="default"/>
                <w:lang w:val="en-US" w:eastAsia="zh-CN"/>
              </w:rPr>
              <w:t xml:space="preserve">   2022</w:t>
            </w:r>
            <w:r>
              <w:rPr>
                <w:rFonts w:hint="eastAsia"/>
                <w:lang w:val="en-US" w:eastAsia="zh-CN"/>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2973"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项目名称</w:t>
            </w:r>
          </w:p>
        </w:tc>
        <w:tc>
          <w:tcPr>
            <w:tcW w:w="6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博爱家园及“三救三献”等项目工作经费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2973"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预算单位</w:t>
            </w:r>
          </w:p>
        </w:tc>
        <w:tc>
          <w:tcPr>
            <w:tcW w:w="6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297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项目资金</w:t>
            </w:r>
            <w:r>
              <w:rPr>
                <w:rFonts w:hint="eastAsia"/>
                <w:lang w:val="en-US" w:eastAsia="zh-CN"/>
              </w:rPr>
              <w:br w:type="textWrapping"/>
            </w:r>
            <w:r>
              <w:rPr>
                <w:rFonts w:hint="eastAsia"/>
                <w:lang w:val="en-US" w:eastAsia="zh-CN"/>
              </w:rPr>
              <w:t>（万元）</w:t>
            </w:r>
          </w:p>
        </w:tc>
        <w:tc>
          <w:tcPr>
            <w:tcW w:w="6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年度资金总额：10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297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6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其中：财政拨款 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297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6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9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总</w:t>
            </w:r>
            <w:r>
              <w:rPr>
                <w:rFonts w:hint="eastAsia"/>
                <w:lang w:val="en-US" w:eastAsia="zh-CN"/>
              </w:rPr>
              <w:br w:type="textWrapping"/>
            </w:r>
            <w:r>
              <w:rPr>
                <w:rFonts w:hint="eastAsia"/>
                <w:lang w:val="en-US" w:eastAsia="zh-CN"/>
              </w:rPr>
              <w:t>体</w:t>
            </w:r>
            <w:r>
              <w:rPr>
                <w:rFonts w:hint="eastAsia"/>
                <w:lang w:val="en-US" w:eastAsia="zh-CN"/>
              </w:rPr>
              <w:br w:type="textWrapping"/>
            </w:r>
            <w:r>
              <w:rPr>
                <w:rFonts w:hint="eastAsia"/>
                <w:lang w:val="en-US" w:eastAsia="zh-CN"/>
              </w:rPr>
              <w:t>目</w:t>
            </w:r>
            <w:r>
              <w:rPr>
                <w:rFonts w:hint="eastAsia"/>
                <w:lang w:val="en-US" w:eastAsia="zh-CN"/>
              </w:rPr>
              <w:br w:type="textWrapping"/>
            </w:r>
            <w:r>
              <w:rPr>
                <w:rFonts w:hint="eastAsia"/>
                <w:lang w:val="en-US" w:eastAsia="zh-CN"/>
              </w:rPr>
              <w:t>标</w:t>
            </w:r>
          </w:p>
        </w:tc>
        <w:tc>
          <w:tcPr>
            <w:tcW w:w="84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469"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rPr>
            </w:pPr>
            <w:r>
              <w:rPr>
                <w:rFonts w:hint="eastAsia"/>
                <w:lang w:val="en-US" w:eastAsia="zh-CN"/>
              </w:rPr>
              <w:t>为更好的围绕州委州政府中心工作，服务大局，助力乡村振兴，发挥红十字会作为党和政府在人道领域桥梁纽带作用，我会依托各类援助项目，广泛开展救灾救援、人道救助、应急救护、遗体（器官）捐献、造血干细胞捐献及无偿献血宣传动员、组织等工作。多年来我会不断加强对外交流合作，积极争取博爱家园项目，为规范项目操作规程，加强项目规范化进程，在项目实施全程负责项目指导和督导工作，以及资料收集和上报等工作。通过项目实施，促进我州红十字组织发展和能力建设，增强项目社区的软实力和防灾减灾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9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绩</w:t>
            </w:r>
            <w:r>
              <w:rPr>
                <w:rFonts w:hint="eastAsia"/>
                <w:lang w:val="en-US" w:eastAsia="zh-CN"/>
              </w:rPr>
              <w:br w:type="textWrapping"/>
            </w:r>
            <w:r>
              <w:rPr>
                <w:rFonts w:hint="eastAsia"/>
                <w:lang w:val="en-US" w:eastAsia="zh-CN"/>
              </w:rPr>
              <w:t>效</w:t>
            </w:r>
            <w:r>
              <w:rPr>
                <w:rFonts w:hint="eastAsia"/>
                <w:lang w:val="en-US" w:eastAsia="zh-CN"/>
              </w:rPr>
              <w:br w:type="textWrapping"/>
            </w:r>
            <w:r>
              <w:rPr>
                <w:rFonts w:hint="eastAsia"/>
                <w:lang w:val="en-US" w:eastAsia="zh-CN"/>
              </w:rPr>
              <w:t>指</w:t>
            </w:r>
            <w:r>
              <w:rPr>
                <w:rFonts w:hint="eastAsia"/>
                <w:lang w:val="en-US" w:eastAsia="zh-CN"/>
              </w:rPr>
              <w:br w:type="textWrapping"/>
            </w:r>
            <w:r>
              <w:rPr>
                <w:rFonts w:hint="eastAsia"/>
                <w:lang w:val="en-US" w:eastAsia="zh-CN"/>
              </w:rPr>
              <w:t>标</w:t>
            </w:r>
          </w:p>
        </w:tc>
        <w:tc>
          <w:tcPr>
            <w:tcW w:w="99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一级</w:t>
            </w:r>
            <w:r>
              <w:rPr>
                <w:rFonts w:hint="eastAsia"/>
                <w:lang w:val="en-US" w:eastAsia="zh-CN"/>
              </w:rPr>
              <w:br w:type="textWrapping"/>
            </w:r>
            <w:r>
              <w:rPr>
                <w:rFonts w:hint="eastAsia"/>
                <w:lang w:val="en-US" w:eastAsia="zh-CN"/>
              </w:rPr>
              <w:t>指标</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二级指标</w:t>
            </w:r>
          </w:p>
        </w:tc>
        <w:tc>
          <w:tcPr>
            <w:tcW w:w="2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三级指标</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91" w:type="dxa"/>
            <w:vMerge w:val="restar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项目完成</w:t>
            </w:r>
          </w:p>
        </w:tc>
        <w:tc>
          <w:tcPr>
            <w:tcW w:w="99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数量指标</w:t>
            </w:r>
          </w:p>
        </w:tc>
        <w:tc>
          <w:tcPr>
            <w:tcW w:w="2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指标1：督导项目次数</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13县全覆盖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9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99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质量指标</w:t>
            </w:r>
          </w:p>
        </w:tc>
        <w:tc>
          <w:tcPr>
            <w:tcW w:w="2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指标1：项目目标</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严格按照援助方要求完成项目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9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99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时效指标</w:t>
            </w:r>
          </w:p>
        </w:tc>
        <w:tc>
          <w:tcPr>
            <w:tcW w:w="2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指标1：督导时间</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2022年1月-2022年12月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9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9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成本指标</w:t>
            </w:r>
          </w:p>
        </w:tc>
        <w:tc>
          <w:tcPr>
            <w:tcW w:w="2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指标1：办公，宣传经费</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4万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9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指标2：公务用车运行费</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3万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9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指标3：差旅费</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3万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9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991" w:type="dxa"/>
            <w:vMerge w:val="restar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社会效益</w:t>
            </w:r>
            <w:r>
              <w:rPr>
                <w:rFonts w:hint="eastAsia"/>
                <w:lang w:val="en-US" w:eastAsia="zh-CN"/>
              </w:rPr>
              <w:br w:type="textWrapping"/>
            </w:r>
            <w:r>
              <w:rPr>
                <w:rFonts w:hint="eastAsia"/>
                <w:lang w:val="en-US" w:eastAsia="zh-CN"/>
              </w:rPr>
              <w:t>指标</w:t>
            </w:r>
          </w:p>
        </w:tc>
        <w:tc>
          <w:tcPr>
            <w:tcW w:w="2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指标1：增强县红会的项目执行力</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项目执行力进一步增强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5" w:hRule="atLeast"/>
        </w:trPr>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9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99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指标2：提高社区居民的防灾减灾能力和卫生健康水平</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80%受访户认为防灾减灾能力得到加强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9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99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可持续影响</w:t>
            </w:r>
            <w:r>
              <w:rPr>
                <w:rFonts w:hint="eastAsia"/>
                <w:lang w:val="en-US" w:eastAsia="zh-CN"/>
              </w:rPr>
              <w:br w:type="textWrapping"/>
            </w:r>
            <w:r>
              <w:rPr>
                <w:rFonts w:hint="eastAsia"/>
                <w:lang w:val="en-US" w:eastAsia="zh-CN"/>
              </w:rPr>
              <w:t>指标</w:t>
            </w:r>
          </w:p>
        </w:tc>
        <w:tc>
          <w:tcPr>
            <w:tcW w:w="2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指标1：红会项目的影响力</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逐步增加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99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2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指标1：社会各界对红十字项目工作的认可度</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80%以上</w:t>
            </w:r>
          </w:p>
        </w:tc>
      </w:tr>
    </w:tbl>
    <w:p>
      <w:pPr>
        <w:pStyle w:val="5"/>
      </w:pPr>
    </w:p>
    <w:tbl>
      <w:tblPr>
        <w:tblStyle w:val="12"/>
        <w:tblW w:w="9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0"/>
        <w:gridCol w:w="969"/>
        <w:gridCol w:w="1309"/>
        <w:gridCol w:w="2881"/>
        <w:gridCol w:w="33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360" w:type="dxa"/>
            <w:gridSpan w:val="5"/>
            <w:tcBorders>
              <w:top w:val="nil"/>
              <w:left w:val="nil"/>
              <w:bottom w:val="nil"/>
              <w:right w:val="nil"/>
            </w:tcBorders>
            <w:shd w:val="clear" w:color="auto" w:fill="auto"/>
            <w:vAlign w:val="center"/>
          </w:tcPr>
          <w:p>
            <w:pPr>
              <w:jc w:val="center"/>
              <w:rPr>
                <w:rFonts w:hint="eastAsia"/>
              </w:rPr>
            </w:pPr>
            <w:r>
              <w:rPr>
                <w:rFonts w:hint="eastAsia" w:ascii="仿宋_GB2312" w:hAnsi="仿宋_GB2312" w:eastAsia="仿宋_GB2312" w:cs="仿宋_GB2312"/>
                <w:sz w:val="32"/>
                <w:szCs w:val="32"/>
                <w:lang w:val="en-US" w:eastAsia="zh-CN"/>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360" w:type="dxa"/>
            <w:gridSpan w:val="5"/>
            <w:tcBorders>
              <w:top w:val="nil"/>
              <w:left w:val="nil"/>
              <w:bottom w:val="nil"/>
              <w:right w:val="nil"/>
            </w:tcBorders>
            <w:shd w:val="clear" w:color="auto" w:fill="auto"/>
            <w:vAlign w:val="center"/>
          </w:tcPr>
          <w:p>
            <w:pPr>
              <w:jc w:val="center"/>
              <w:rPr>
                <w:rFonts w:hint="eastAsia"/>
              </w:rPr>
            </w:pPr>
            <w:r>
              <w:rPr>
                <w:rFonts w:hint="eastAsia"/>
                <w:lang w:val="en-US" w:eastAsia="zh-CN"/>
              </w:rPr>
              <w:t>（</w:t>
            </w:r>
            <w:r>
              <w:rPr>
                <w:rFonts w:hint="default"/>
                <w:lang w:val="en-US" w:eastAsia="zh-CN"/>
              </w:rPr>
              <w:t xml:space="preserve">   2022</w:t>
            </w:r>
            <w:r>
              <w:rPr>
                <w:rFonts w:hint="eastAsia"/>
                <w:lang w:val="en-US" w:eastAsia="zh-CN"/>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3118"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项目名称</w:t>
            </w:r>
          </w:p>
        </w:tc>
        <w:tc>
          <w:tcPr>
            <w:tcW w:w="6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防灾避险、救护培训项目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3118"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预算单位</w:t>
            </w:r>
          </w:p>
        </w:tc>
        <w:tc>
          <w:tcPr>
            <w:tcW w:w="6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31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项目资金</w:t>
            </w:r>
            <w:r>
              <w:rPr>
                <w:rFonts w:hint="eastAsia"/>
                <w:lang w:val="en-US" w:eastAsia="zh-CN"/>
              </w:rPr>
              <w:br w:type="textWrapping"/>
            </w:r>
            <w:r>
              <w:rPr>
                <w:rFonts w:hint="eastAsia"/>
                <w:lang w:val="en-US" w:eastAsia="zh-CN"/>
              </w:rPr>
              <w:t>（万元）</w:t>
            </w:r>
          </w:p>
        </w:tc>
        <w:tc>
          <w:tcPr>
            <w:tcW w:w="6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年度资金总额：13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6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其中：财政拨款 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3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62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总</w:t>
            </w:r>
            <w:r>
              <w:rPr>
                <w:rFonts w:hint="eastAsia"/>
                <w:lang w:val="en-US" w:eastAsia="zh-CN"/>
              </w:rPr>
              <w:br w:type="textWrapping"/>
            </w:r>
            <w:r>
              <w:rPr>
                <w:rFonts w:hint="eastAsia"/>
                <w:lang w:val="en-US" w:eastAsia="zh-CN"/>
              </w:rPr>
              <w:t>体</w:t>
            </w:r>
            <w:r>
              <w:rPr>
                <w:rFonts w:hint="eastAsia"/>
                <w:lang w:val="en-US" w:eastAsia="zh-CN"/>
              </w:rPr>
              <w:br w:type="textWrapping"/>
            </w:r>
            <w:r>
              <w:rPr>
                <w:rFonts w:hint="eastAsia"/>
                <w:lang w:val="en-US" w:eastAsia="zh-CN"/>
              </w:rPr>
              <w:t>目</w:t>
            </w:r>
            <w:r>
              <w:rPr>
                <w:rFonts w:hint="eastAsia"/>
                <w:lang w:val="en-US" w:eastAsia="zh-CN"/>
              </w:rPr>
              <w:br w:type="textWrapping"/>
            </w:r>
            <w:r>
              <w:rPr>
                <w:rFonts w:hint="eastAsia"/>
                <w:lang w:val="en-US" w:eastAsia="zh-CN"/>
              </w:rPr>
              <w:t>标</w:t>
            </w:r>
          </w:p>
        </w:tc>
        <w:tc>
          <w:tcPr>
            <w:tcW w:w="85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52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rPr>
            </w:pPr>
            <w:r>
              <w:rPr>
                <w:rFonts w:hint="eastAsia"/>
                <w:lang w:val="en-US" w:eastAsia="zh-CN"/>
              </w:rPr>
              <w:br w:type="textWrapping"/>
            </w:r>
            <w:r>
              <w:rPr>
                <w:rFonts w:hint="eastAsia"/>
                <w:lang w:val="en-US" w:eastAsia="zh-CN"/>
              </w:rPr>
              <w:t>按照《四川省红十字事业发展规划（2021-2025）》要求，阿坝州要广泛开展普及公众急救知识和技能工作。公众应急救护知识和技能普及率得到提升，红十字救护员队伍不断发展壮大，群众性应急救护培训主体作用得到充分发挥。同时在《发展规划》中有详细明确的要求，我会从2018年开始每年必须加大救护培训的工作力度，确保每年掌握应急救护知识的人群达到全州人口总数的1%，完成总会、省红会下达的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绩</w:t>
            </w:r>
            <w:r>
              <w:rPr>
                <w:rFonts w:hint="eastAsia"/>
                <w:lang w:val="en-US" w:eastAsia="zh-CN"/>
              </w:rPr>
              <w:br w:type="textWrapping"/>
            </w:r>
            <w:r>
              <w:rPr>
                <w:rFonts w:hint="eastAsia"/>
                <w:lang w:val="en-US" w:eastAsia="zh-CN"/>
              </w:rPr>
              <w:t>效</w:t>
            </w:r>
            <w:r>
              <w:rPr>
                <w:rFonts w:hint="eastAsia"/>
                <w:lang w:val="en-US" w:eastAsia="zh-CN"/>
              </w:rPr>
              <w:br w:type="textWrapping"/>
            </w:r>
            <w:r>
              <w:rPr>
                <w:rFonts w:hint="eastAsia"/>
                <w:lang w:val="en-US" w:eastAsia="zh-CN"/>
              </w:rPr>
              <w:t>指</w:t>
            </w:r>
            <w:r>
              <w:rPr>
                <w:rFonts w:hint="eastAsia"/>
                <w:lang w:val="en-US" w:eastAsia="zh-CN"/>
              </w:rPr>
              <w:br w:type="textWrapping"/>
            </w:r>
            <w:r>
              <w:rPr>
                <w:rFonts w:hint="eastAsia"/>
                <w:lang w:val="en-US" w:eastAsia="zh-CN"/>
              </w:rPr>
              <w:t>标</w:t>
            </w:r>
          </w:p>
        </w:tc>
        <w:tc>
          <w:tcPr>
            <w:tcW w:w="969"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一级</w:t>
            </w:r>
            <w:r>
              <w:rPr>
                <w:rFonts w:hint="eastAsia"/>
                <w:lang w:val="en-US" w:eastAsia="zh-CN"/>
              </w:rPr>
              <w:br w:type="textWrapping"/>
            </w:r>
            <w:r>
              <w:rPr>
                <w:rFonts w:hint="eastAsia"/>
                <w:lang w:val="en-US" w:eastAsia="zh-CN"/>
              </w:rPr>
              <w:t>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二级指标</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三级指标</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项目完成</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数量指标</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指标1：全州各级红会举办“急救员”培训班期数</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65期以上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指标2：全州各级红会举办“救护员”培训班参加人数</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2000人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指标3：全州各级举办普及培训场次</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30场次以上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指标4：普及培训及宣传参加人次</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10000人次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质量指标</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指标1：急救员培训获证书人数</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指标2：救护普及培训接受度</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60%以上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时效指标</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指标1：培训完成时间</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2022年1月-2022年12月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09"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指标1：人均培训耗材费</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15元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0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指标2：人均教材证书费</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指标3：其它培训费用（人均）</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100元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项目效益</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经济效益</w:t>
            </w:r>
            <w:r>
              <w:rPr>
                <w:rFonts w:hint="eastAsia"/>
                <w:lang w:val="en-US" w:eastAsia="zh-CN"/>
              </w:rPr>
              <w:br w:type="textWrapping"/>
            </w:r>
            <w:r>
              <w:rPr>
                <w:rFonts w:hint="eastAsia"/>
                <w:lang w:val="en-US" w:eastAsia="zh-CN"/>
              </w:rPr>
              <w:t>指标</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指标1：因急救降低伤残和死亡发生率，而产生的经济价值</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无可估量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社会效益</w:t>
            </w:r>
            <w:r>
              <w:rPr>
                <w:rFonts w:hint="eastAsia"/>
                <w:lang w:val="en-US" w:eastAsia="zh-CN"/>
              </w:rPr>
              <w:br w:type="textWrapping"/>
            </w:r>
            <w:r>
              <w:rPr>
                <w:rFonts w:hint="eastAsia"/>
                <w:lang w:val="en-US" w:eastAsia="zh-CN"/>
              </w:rPr>
              <w:t>指标</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指标1：因急救降低伤残和死亡发生率</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由目前的2%的存活率可提升至10%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可持续影响</w:t>
            </w:r>
            <w:r>
              <w:rPr>
                <w:rFonts w:hint="eastAsia"/>
                <w:lang w:val="en-US" w:eastAsia="zh-CN"/>
              </w:rPr>
              <w:br w:type="textWrapping"/>
            </w:r>
            <w:r>
              <w:rPr>
                <w:rFonts w:hint="eastAsia"/>
                <w:lang w:val="en-US" w:eastAsia="zh-CN"/>
              </w:rPr>
              <w:t>指标</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指标1：社会各界对红十字救护工作的认可度</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极大增强人们对红会工作的认识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满意度指标</w:t>
            </w:r>
          </w:p>
        </w:tc>
        <w:tc>
          <w:tcPr>
            <w:tcW w:w="28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指标1：培训人员满意度</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85%以上</w:t>
            </w:r>
          </w:p>
        </w:tc>
      </w:tr>
    </w:tbl>
    <w:p>
      <w:pPr>
        <w:pStyle w:val="5"/>
      </w:pPr>
    </w:p>
    <w:tbl>
      <w:tblPr>
        <w:tblStyle w:val="12"/>
        <w:tblW w:w="9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9"/>
        <w:gridCol w:w="641"/>
        <w:gridCol w:w="1581"/>
        <w:gridCol w:w="2496"/>
        <w:gridCol w:w="37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9100" w:type="dxa"/>
            <w:gridSpan w:val="5"/>
            <w:tcBorders>
              <w:top w:val="nil"/>
              <w:left w:val="nil"/>
              <w:bottom w:val="nil"/>
              <w:right w:val="nil"/>
            </w:tcBorders>
            <w:shd w:val="clear" w:color="auto" w:fill="auto"/>
            <w:vAlign w:val="center"/>
          </w:tcPr>
          <w:p>
            <w:pPr>
              <w:jc w:val="center"/>
              <w:rPr>
                <w:rFonts w:hint="eastAsia"/>
              </w:rPr>
            </w:pPr>
            <w:r>
              <w:rPr>
                <w:rFonts w:hint="eastAsia" w:ascii="仿宋_GB2312" w:hAnsi="仿宋_GB2312" w:eastAsia="仿宋_GB2312" w:cs="仿宋_GB2312"/>
                <w:sz w:val="32"/>
                <w:szCs w:val="32"/>
                <w:lang w:val="en-US" w:eastAsia="zh-CN"/>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100" w:type="dxa"/>
            <w:gridSpan w:val="5"/>
            <w:tcBorders>
              <w:top w:val="nil"/>
              <w:left w:val="nil"/>
              <w:bottom w:val="nil"/>
              <w:right w:val="nil"/>
            </w:tcBorders>
            <w:shd w:val="clear" w:color="auto" w:fill="auto"/>
            <w:vAlign w:val="center"/>
          </w:tcPr>
          <w:p>
            <w:pPr>
              <w:jc w:val="center"/>
              <w:rPr>
                <w:rFonts w:hint="eastAsia"/>
              </w:rPr>
            </w:pPr>
            <w:r>
              <w:rPr>
                <w:rFonts w:hint="eastAsia"/>
                <w:lang w:val="en-US" w:eastAsia="zh-CN"/>
              </w:rPr>
              <w:t>（</w:t>
            </w:r>
            <w:r>
              <w:rPr>
                <w:rFonts w:hint="default"/>
                <w:lang w:val="en-US" w:eastAsia="zh-CN"/>
              </w:rPr>
              <w:t xml:space="preserve">   2022 </w:t>
            </w:r>
            <w:r>
              <w:rPr>
                <w:rFonts w:hint="eastAsia"/>
                <w:lang w:val="en-US" w:eastAsia="zh-CN"/>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2831"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项目名称</w:t>
            </w:r>
          </w:p>
        </w:tc>
        <w:tc>
          <w:tcPr>
            <w:tcW w:w="6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红十字会赈济救援队建设项目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2831" w:type="dxa"/>
            <w:gridSpan w:val="3"/>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rPr>
            </w:pPr>
            <w:r>
              <w:rPr>
                <w:rFonts w:hint="eastAsia"/>
                <w:lang w:val="en-US" w:eastAsia="zh-CN"/>
              </w:rPr>
              <w:t>预算单位</w:t>
            </w:r>
          </w:p>
        </w:tc>
        <w:tc>
          <w:tcPr>
            <w:tcW w:w="6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28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项目资金</w:t>
            </w:r>
            <w:r>
              <w:rPr>
                <w:rFonts w:hint="eastAsia"/>
                <w:lang w:val="en-US" w:eastAsia="zh-CN"/>
              </w:rPr>
              <w:br w:type="textWrapping"/>
            </w:r>
            <w:r>
              <w:rPr>
                <w:rFonts w:hint="eastAsia"/>
                <w:lang w:val="en-US" w:eastAsia="zh-CN"/>
              </w:rPr>
              <w:t>（万元）</w:t>
            </w:r>
          </w:p>
        </w:tc>
        <w:tc>
          <w:tcPr>
            <w:tcW w:w="6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年度资金总额：4万元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28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6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其中：财政拨款4万元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28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6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28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rPr>
            </w:pPr>
            <w:r>
              <w:rPr>
                <w:rFonts w:hint="eastAsia"/>
                <w:lang w:val="en-US" w:eastAsia="zh-CN"/>
              </w:rPr>
              <w:t>预算测算标准及测算过程</w:t>
            </w:r>
          </w:p>
        </w:tc>
        <w:tc>
          <w:tcPr>
            <w:tcW w:w="6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逐步建立一支管理规范、标准统一、训练有素、装备精良、能独立承担灾害救援任务的红十字救援队。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总</w:t>
            </w:r>
            <w:r>
              <w:rPr>
                <w:rFonts w:hint="eastAsia"/>
                <w:lang w:val="en-US" w:eastAsia="zh-CN"/>
              </w:rPr>
              <w:br w:type="textWrapping"/>
            </w:r>
            <w:r>
              <w:rPr>
                <w:rFonts w:hint="eastAsia"/>
                <w:lang w:val="en-US" w:eastAsia="zh-CN"/>
              </w:rPr>
              <w:t>体</w:t>
            </w:r>
            <w:r>
              <w:rPr>
                <w:rFonts w:hint="eastAsia"/>
                <w:lang w:val="en-US" w:eastAsia="zh-CN"/>
              </w:rPr>
              <w:br w:type="textWrapping"/>
            </w:r>
            <w:r>
              <w:rPr>
                <w:rFonts w:hint="eastAsia"/>
                <w:lang w:val="en-US" w:eastAsia="zh-CN"/>
              </w:rPr>
              <w:t>目</w:t>
            </w:r>
            <w:r>
              <w:rPr>
                <w:rFonts w:hint="eastAsia"/>
                <w:lang w:val="en-US" w:eastAsia="zh-CN"/>
              </w:rPr>
              <w:br w:type="textWrapping"/>
            </w:r>
            <w:r>
              <w:rPr>
                <w:rFonts w:hint="eastAsia"/>
                <w:lang w:val="en-US" w:eastAsia="zh-CN"/>
              </w:rPr>
              <w:t>标</w:t>
            </w:r>
          </w:p>
        </w:tc>
        <w:tc>
          <w:tcPr>
            <w:tcW w:w="84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8491"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rPr>
            </w:pPr>
            <w:r>
              <w:rPr>
                <w:rFonts w:hint="eastAsia"/>
                <w:lang w:val="en-US" w:eastAsia="zh-CN"/>
              </w:rPr>
              <w:t>为加强我州红十字系统应急救援体系建设、提高应急救援能力和为民服务水平，根据《中华人民共和国红十字会法》“红十字会建立红十字应急救援体系”的总体要求，不断加强我会赈济救援队伍的培训、演练及设备装备工作，逐步建立一支管理规范、标准统一、训练有素、装备精良、能独立承担灾害救援任务的红十字救援队。弘扬“人道、博爱、奉献”的红十字精神，充分发挥政府人道领域助手作用，在重大自然灾害发生后，根据上级或同级红十字会要求，前往灾区执行赈济救援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609" w:type="dxa"/>
            <w:vMerge w:val="restar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绩</w:t>
            </w:r>
            <w:r>
              <w:rPr>
                <w:rFonts w:hint="eastAsia"/>
                <w:lang w:val="en-US" w:eastAsia="zh-CN"/>
              </w:rPr>
              <w:br w:type="textWrapping"/>
            </w:r>
            <w:r>
              <w:rPr>
                <w:rFonts w:hint="eastAsia"/>
                <w:lang w:val="en-US" w:eastAsia="zh-CN"/>
              </w:rPr>
              <w:t>效</w:t>
            </w:r>
            <w:r>
              <w:rPr>
                <w:rFonts w:hint="eastAsia"/>
                <w:lang w:val="en-US" w:eastAsia="zh-CN"/>
              </w:rPr>
              <w:br w:type="textWrapping"/>
            </w:r>
            <w:r>
              <w:rPr>
                <w:rFonts w:hint="eastAsia"/>
                <w:lang w:val="en-US" w:eastAsia="zh-CN"/>
              </w:rPr>
              <w:t>指</w:t>
            </w:r>
            <w:r>
              <w:rPr>
                <w:rFonts w:hint="eastAsia"/>
                <w:lang w:val="en-US" w:eastAsia="zh-CN"/>
              </w:rPr>
              <w:br w:type="textWrapping"/>
            </w:r>
            <w:r>
              <w:rPr>
                <w:rFonts w:hint="eastAsia"/>
                <w:lang w:val="en-US" w:eastAsia="zh-CN"/>
              </w:rPr>
              <w:t>标</w:t>
            </w:r>
          </w:p>
        </w:tc>
        <w:tc>
          <w:tcPr>
            <w:tcW w:w="64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一级</w:t>
            </w:r>
            <w:r>
              <w:rPr>
                <w:rFonts w:hint="eastAsia"/>
                <w:lang w:val="en-US" w:eastAsia="zh-CN"/>
              </w:rPr>
              <w:br w:type="textWrapping"/>
            </w:r>
            <w:r>
              <w:rPr>
                <w:rFonts w:hint="eastAsia"/>
                <w:lang w:val="en-US" w:eastAsia="zh-CN"/>
              </w:rPr>
              <w:t>指标</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二级指标</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三级指标</w:t>
            </w:r>
          </w:p>
        </w:tc>
        <w:tc>
          <w:tcPr>
            <w:tcW w:w="37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641" w:type="dxa"/>
            <w:vMerge w:val="restar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项目完成</w:t>
            </w:r>
          </w:p>
        </w:tc>
        <w:tc>
          <w:tcPr>
            <w:tcW w:w="158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数量指标</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指标1：培训人次</w:t>
            </w:r>
          </w:p>
        </w:tc>
        <w:tc>
          <w:tcPr>
            <w:tcW w:w="37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约40人次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60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64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581" w:type="dxa"/>
            <w:vMerge w:val="restar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质量指标</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指标1：培训合格率</w:t>
            </w:r>
          </w:p>
        </w:tc>
        <w:tc>
          <w:tcPr>
            <w:tcW w:w="37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60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64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58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指标2：设备质量</w:t>
            </w:r>
          </w:p>
        </w:tc>
        <w:tc>
          <w:tcPr>
            <w:tcW w:w="37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达到应急救援要求，质量合格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60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64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58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时效指标</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指标1：完成时效</w:t>
            </w:r>
          </w:p>
        </w:tc>
        <w:tc>
          <w:tcPr>
            <w:tcW w:w="37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2022年11月前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60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64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58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成本指标</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指标1：培训成本</w:t>
            </w:r>
          </w:p>
        </w:tc>
        <w:tc>
          <w:tcPr>
            <w:tcW w:w="37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230元/天.人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60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64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58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社会效益</w:t>
            </w:r>
            <w:r>
              <w:rPr>
                <w:rFonts w:hint="eastAsia"/>
                <w:lang w:val="en-US" w:eastAsia="zh-CN"/>
              </w:rPr>
              <w:br w:type="textWrapping"/>
            </w:r>
            <w:r>
              <w:rPr>
                <w:rFonts w:hint="eastAsia"/>
                <w:lang w:val="en-US" w:eastAsia="zh-CN"/>
              </w:rPr>
              <w:t>指标</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指标1：救灾能力提高</w:t>
            </w:r>
          </w:p>
        </w:tc>
        <w:tc>
          <w:tcPr>
            <w:tcW w:w="37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逐步建立一支管理规范、标准统一、训练有素、装备精良、能独立承担灾害救援任务的红十字救援队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0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64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58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可持续影响</w:t>
            </w:r>
            <w:r>
              <w:rPr>
                <w:rFonts w:hint="eastAsia"/>
                <w:lang w:val="en-US" w:eastAsia="zh-CN"/>
              </w:rPr>
              <w:br w:type="textWrapping"/>
            </w:r>
            <w:r>
              <w:rPr>
                <w:rFonts w:hint="eastAsia"/>
                <w:lang w:val="en-US" w:eastAsia="zh-CN"/>
              </w:rPr>
              <w:t>指标</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指标1：救灾能力提高</w:t>
            </w:r>
          </w:p>
        </w:tc>
        <w:tc>
          <w:tcPr>
            <w:tcW w:w="37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逐步建立一支管理规范、标准统一、训练有素、装备精良、能独立承担灾害救援任务的红十字救援队</w:t>
            </w:r>
          </w:p>
        </w:tc>
      </w:tr>
    </w:tbl>
    <w:p>
      <w:pPr>
        <w:numPr>
          <w:ilvl w:val="0"/>
          <w:numId w:val="0"/>
        </w:numPr>
        <w:spacing w:line="600" w:lineRule="exact"/>
        <w:jc w:val="both"/>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ascii="宋体"/>
          <w:b/>
          <w:color w:val="000000"/>
          <w:sz w:val="44"/>
          <w:szCs w:val="44"/>
        </w:rPr>
      </w:pPr>
      <w:r>
        <w:rPr>
          <w:rFonts w:hint="eastAsia" w:ascii="黑体" w:eastAsia="黑体"/>
          <w:sz w:val="44"/>
          <w:szCs w:val="44"/>
          <w:lang w:val="en-US" w:eastAsia="zh-CN"/>
        </w:rPr>
        <w:t xml:space="preserve">第三部分 </w:t>
      </w:r>
      <w:r>
        <w:rPr>
          <w:rFonts w:hint="eastAsia" w:ascii="黑体" w:eastAsia="黑体"/>
          <w:sz w:val="44"/>
          <w:szCs w:val="44"/>
        </w:rPr>
        <w:t>名</w:t>
      </w:r>
      <w:r>
        <w:rPr>
          <w:rStyle w:val="16"/>
          <w:rFonts w:hint="eastAsia" w:ascii="黑体" w:eastAsia="黑体"/>
          <w:b w:val="0"/>
        </w:rPr>
        <w:t>词解释</w:t>
      </w:r>
      <w:bookmarkEnd w:id="30"/>
      <w:bookmarkEnd w:id="31"/>
      <w:bookmarkStart w:id="61" w:name="_Toc15396614"/>
      <w:bookmarkStart w:id="62" w:name="_Toc15377226"/>
    </w:p>
    <w:p>
      <w:pPr>
        <w:pStyle w:val="21"/>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其他收入：指单位取得的除上述收入以外的各项收入。主要是利息收入等。</w:t>
      </w:r>
      <w:r>
        <w:rPr>
          <w:rFonts w:ascii="仿宋_GB2312" w:eastAsia="仿宋_GB2312"/>
          <w:sz w:val="32"/>
          <w:szCs w:val="32"/>
        </w:rPr>
        <w:t xml:space="preserve"> </w:t>
      </w:r>
    </w:p>
    <w:p>
      <w:pPr>
        <w:pStyle w:val="21"/>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ind w:firstLine="640" w:firstLineChars="200"/>
        <w:rPr>
          <w:rFonts w:ascii="仿宋_GB2312" w:eastAsia="仿宋_GB2312"/>
          <w:sz w:val="32"/>
          <w:szCs w:val="32"/>
        </w:rPr>
      </w:pPr>
      <w:r>
        <w:rPr>
          <w:rFonts w:hint="eastAsia" w:ascii="仿宋_GB2312" w:eastAsia="仿宋_GB2312"/>
          <w:sz w:val="32"/>
          <w:szCs w:val="32"/>
        </w:rPr>
        <w:t>4、年末结转和结余：指单位按有关规定结转到下年或以后年度继续使用的资金。</w:t>
      </w:r>
    </w:p>
    <w:p>
      <w:pPr>
        <w:pStyle w:val="21"/>
        <w:spacing w:line="560" w:lineRule="exact"/>
        <w:ind w:firstLine="640" w:firstLineChars="200"/>
        <w:rPr>
          <w:rFonts w:ascii="仿宋_GB2312" w:eastAsia="仿宋_GB2312"/>
          <w:bCs/>
          <w:sz w:val="32"/>
          <w:szCs w:val="32"/>
        </w:rPr>
      </w:pPr>
      <w:r>
        <w:rPr>
          <w:rFonts w:hint="eastAsia" w:ascii="仿宋_GB2312" w:eastAsia="仿宋_GB2312"/>
          <w:bCs/>
          <w:sz w:val="32"/>
          <w:szCs w:val="32"/>
        </w:rPr>
        <w:t>5.社会保障和就业支出：反映政府在社会保障与就业方面的支出。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机关事业单位基本养老保险缴费支出：反映机关事业单位实施养老保险制度由单位缴纳的基本养老保险费支出。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机关事业单位职业年金缴费支出：反映机关事业单位实施养老保险制度有单位实际缴纳的职业年金支出。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行政运行：反映行政单位（包括实行公务员管理的事业单位）的基本支出。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一般行政管理事务：反映行政单位（包括实行公务员管理的事业单位）未单独设置项级科目的其他项目支出。</w:t>
      </w:r>
    </w:p>
    <w:p>
      <w:pPr>
        <w:pStyle w:val="21"/>
        <w:spacing w:line="560" w:lineRule="exact"/>
        <w:ind w:firstLine="640" w:firstLineChars="200"/>
        <w:rPr>
          <w:rFonts w:ascii="仿宋_GB2312" w:eastAsia="仿宋_GB2312"/>
          <w:sz w:val="32"/>
          <w:szCs w:val="32"/>
        </w:rPr>
      </w:pPr>
      <w:r>
        <w:rPr>
          <w:rFonts w:hint="eastAsia" w:ascii="仿宋_GB2312" w:eastAsia="仿宋_GB2312"/>
          <w:bCs/>
          <w:sz w:val="32"/>
          <w:szCs w:val="32"/>
        </w:rPr>
        <w:t>6.医疗卫生与计划生育支出</w:t>
      </w:r>
      <w:r>
        <w:rPr>
          <w:rFonts w:hint="eastAsia" w:ascii="仿宋_GB2312" w:eastAsia="仿宋_GB2312"/>
          <w:sz w:val="32"/>
          <w:szCs w:val="32"/>
        </w:rPr>
        <w:t>：反映政府医疗卫生与计划生育管理方面的支出。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行政单位医疗：反映财政部门集中安排的行政单位基本医疗保险缴费经费，未参加医疗保险的行政单位的公费医疗经费，按国家规定享受离休人员、红军老战士待遇人员的医疗经费。</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公务员医疗补助：反映财政部门安排的公务员医疗补助经费。</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7、住房保障支出：集中反映政府用于住房方面的支出。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住房公积金：反映行政事业单位按人力资源和社会保障部、财政部规定的基本工资和津补贴以及规定比例为职工缴纳的住房公积金。</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pStyle w:val="21"/>
        <w:ind w:firstLine="640" w:firstLineChars="200"/>
        <w:rPr>
          <w:rFonts w:ascii="仿宋_GB2312" w:eastAsia="仿宋_GB2312"/>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ind w:firstLine="640" w:firstLineChars="200"/>
        <w:rPr>
          <w:rFonts w:ascii="仿宋_GB2312" w:eastAsia="仿宋_GB2312"/>
          <w:sz w:val="32"/>
          <w:szCs w:val="32"/>
        </w:rPr>
      </w:pP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both"/>
        <w:outlineLvl w:val="0"/>
        <w:rPr>
          <w:rFonts w:hint="eastAsia" w:ascii="黑体" w:eastAsia="黑体"/>
          <w:sz w:val="44"/>
          <w:szCs w:val="44"/>
        </w:rPr>
      </w:pPr>
    </w:p>
    <w:p>
      <w:pPr>
        <w:spacing w:line="600" w:lineRule="exact"/>
        <w:jc w:val="both"/>
        <w:outlineLvl w:val="0"/>
        <w:rPr>
          <w:rFonts w:hint="eastAsia" w:ascii="黑体" w:eastAsia="黑体"/>
          <w:sz w:val="44"/>
          <w:szCs w:val="44"/>
        </w:rPr>
      </w:pPr>
    </w:p>
    <w:p>
      <w:pPr>
        <w:spacing w:line="600" w:lineRule="exact"/>
        <w:jc w:val="both"/>
        <w:outlineLvl w:val="0"/>
        <w:rPr>
          <w:rStyle w:val="16"/>
          <w:rFonts w:ascii="黑体" w:eastAsia="黑体"/>
          <w:b w:val="0"/>
          <w:sz w:val="32"/>
          <w:szCs w:val="32"/>
        </w:rPr>
      </w:pPr>
      <w:r>
        <w:rPr>
          <w:rFonts w:hint="eastAsia" w:ascii="黑体" w:eastAsia="黑体"/>
          <w:sz w:val="32"/>
          <w:szCs w:val="32"/>
        </w:rPr>
        <w:t>第</w:t>
      </w:r>
      <w:r>
        <w:rPr>
          <w:rStyle w:val="16"/>
          <w:rFonts w:hint="eastAsia" w:ascii="黑体" w:eastAsia="黑体"/>
          <w:b w:val="0"/>
          <w:sz w:val="32"/>
          <w:szCs w:val="32"/>
        </w:rPr>
        <w:t>四部分 附件</w:t>
      </w:r>
      <w:bookmarkEnd w:id="61"/>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黑体" w:eastAsia="黑体"/>
          <w:sz w:val="44"/>
          <w:szCs w:val="44"/>
        </w:rPr>
      </w:pPr>
      <w:r>
        <w:rPr>
          <w:rFonts w:hint="eastAsia" w:ascii="黑体" w:eastAsia="黑体"/>
          <w:sz w:val="44"/>
          <w:szCs w:val="44"/>
        </w:rPr>
        <w:t>阿坝州红十字会</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黑体" w:eastAsia="黑体"/>
          <w:sz w:val="44"/>
          <w:szCs w:val="44"/>
        </w:rPr>
      </w:pPr>
      <w:r>
        <w:rPr>
          <w:rFonts w:hint="eastAsia" w:ascii="黑体" w:eastAsia="黑体"/>
          <w:sz w:val="44"/>
          <w:szCs w:val="44"/>
        </w:rPr>
        <w:t>202</w:t>
      </w:r>
      <w:r>
        <w:rPr>
          <w:rFonts w:hint="eastAsia" w:ascii="黑体" w:eastAsia="黑体"/>
          <w:sz w:val="44"/>
          <w:szCs w:val="44"/>
          <w:lang w:val="en-US" w:eastAsia="zh-CN"/>
        </w:rPr>
        <w:t>2</w:t>
      </w:r>
      <w:r>
        <w:rPr>
          <w:rFonts w:hint="eastAsia" w:ascii="黑体" w:eastAsia="黑体"/>
          <w:sz w:val="44"/>
          <w:szCs w:val="44"/>
        </w:rPr>
        <w:t>年部门整体支出绩效报告</w:t>
      </w:r>
    </w:p>
    <w:p>
      <w:pPr>
        <w:keepNext w:val="0"/>
        <w:keepLines w:val="0"/>
        <w:pageBreakBefore w:val="0"/>
        <w:kinsoku/>
        <w:wordWrap/>
        <w:overflowPunct/>
        <w:topLinePunct w:val="0"/>
        <w:autoSpaceDN/>
        <w:bidi w:val="0"/>
        <w:adjustRightInd/>
        <w:spacing w:line="576" w:lineRule="exact"/>
        <w:jc w:val="center"/>
        <w:textAlignment w:val="auto"/>
        <w:rPr>
          <w:rFonts w:hint="eastAsia" w:ascii="黑体" w:eastAsia="黑体"/>
          <w:sz w:val="44"/>
          <w:szCs w:val="44"/>
        </w:rPr>
      </w:pPr>
    </w:p>
    <w:p>
      <w:pPr>
        <w:keepNext w:val="0"/>
        <w:keepLines w:val="0"/>
        <w:pageBreakBefore w:val="0"/>
        <w:kinsoku/>
        <w:wordWrap/>
        <w:overflowPunct/>
        <w:topLinePunct w:val="0"/>
        <w:autoSpaceDN/>
        <w:bidi w:val="0"/>
        <w:adjustRightInd/>
        <w:spacing w:line="560" w:lineRule="exact"/>
        <w:ind w:firstLine="640" w:firstLineChars="200"/>
        <w:textAlignment w:val="auto"/>
        <w:rPr>
          <w:rFonts w:hint="eastAsia" w:ascii="黑体" w:eastAsia="黑体"/>
          <w:sz w:val="44"/>
          <w:szCs w:val="44"/>
        </w:rPr>
      </w:pPr>
      <w:r>
        <w:rPr>
          <w:rFonts w:hint="eastAsia" w:ascii="黑体" w:hAnsi="宋体" w:eastAsia="黑体" w:cs="宋体"/>
          <w:kern w:val="0"/>
          <w:sz w:val="32"/>
          <w:szCs w:val="32"/>
        </w:rPr>
        <w:t>一、部门基本概况</w:t>
      </w:r>
    </w:p>
    <w:p>
      <w:pPr>
        <w:keepNext w:val="0"/>
        <w:keepLines w:val="0"/>
        <w:pageBreakBefore w:val="0"/>
        <w:kinsoku/>
        <w:wordWrap/>
        <w:overflowPunct/>
        <w:topLinePunct w:val="0"/>
        <w:autoSpaceDN/>
        <w:bidi w:val="0"/>
        <w:adjustRightInd/>
        <w:spacing w:line="560" w:lineRule="exact"/>
        <w:ind w:firstLine="642" w:firstLineChars="200"/>
        <w:textAlignment w:val="auto"/>
        <w:rPr>
          <w:rFonts w:hint="eastAsia" w:ascii="楷体_GB2312" w:eastAsia="楷体_GB2312"/>
          <w:sz w:val="44"/>
          <w:szCs w:val="44"/>
        </w:rPr>
      </w:pPr>
      <w:r>
        <w:rPr>
          <w:rFonts w:hint="eastAsia" w:ascii="楷体_GB2312" w:hAnsi="宋体" w:eastAsia="楷体_GB2312" w:cs="宋体"/>
          <w:b/>
          <w:kern w:val="0"/>
          <w:sz w:val="32"/>
          <w:szCs w:val="32"/>
        </w:rPr>
        <w:t>（一）机构组成</w:t>
      </w:r>
    </w:p>
    <w:p>
      <w:pPr>
        <w:keepNext w:val="0"/>
        <w:keepLines w:val="0"/>
        <w:pageBreakBefore w:val="0"/>
        <w:widowControl/>
        <w:kinsoku/>
        <w:wordWrap/>
        <w:overflowPunct/>
        <w:topLinePunct w:val="0"/>
        <w:autoSpaceDN/>
        <w:bidi w:val="0"/>
        <w:adjustRightInd/>
        <w:spacing w:line="560" w:lineRule="exact"/>
        <w:ind w:left="210" w:leftChars="100" w:firstLine="640" w:firstLineChars="20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本部门为正县级参公事业单位，没有下属二级预算单位，其中内设机构4个分别是：办公室、赈灾救济部、组织宣传部、事业发展部。</w:t>
      </w:r>
    </w:p>
    <w:p>
      <w:pPr>
        <w:keepNext w:val="0"/>
        <w:keepLines w:val="0"/>
        <w:pageBreakBefore w:val="0"/>
        <w:widowControl/>
        <w:kinsoku/>
        <w:wordWrap/>
        <w:overflowPunct/>
        <w:topLinePunct w:val="0"/>
        <w:autoSpaceDN/>
        <w:bidi w:val="0"/>
        <w:adjustRightInd/>
        <w:spacing w:line="560" w:lineRule="exact"/>
        <w:ind w:firstLine="642" w:firstLineChars="200"/>
        <w:jc w:val="left"/>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（二）机构职能</w:t>
      </w:r>
    </w:p>
    <w:p>
      <w:pPr>
        <w:keepNext w:val="0"/>
        <w:keepLines w:val="0"/>
        <w:pageBreakBefore w:val="0"/>
        <w:kinsoku/>
        <w:wordWrap/>
        <w:overflowPunct/>
        <w:topLinePunct w:val="0"/>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阿坝州红十字会是中华人民共和国统一的红十字组织，是从事人道主义工作的社会救助团体，是州委、州政府在人道领域的助手和联系群众的桥梁纽带。遵守宪法和法律，按照《中国红十字会章程》独立自主地开展工作。认真贯彻落实《中华人民共和国红十字会法》，依法履行法定职责，开展救灾、救助、救护工作。建立红十字应急救援体系，拓展人道资源动员能力，参与推动无偿献血、造血干细胞捐献、人体器官（遗体）捐献工作。</w:t>
      </w:r>
    </w:p>
    <w:p>
      <w:pPr>
        <w:keepNext w:val="0"/>
        <w:keepLines w:val="0"/>
        <w:pageBreakBefore w:val="0"/>
        <w:widowControl/>
        <w:kinsoku/>
        <w:wordWrap/>
        <w:overflowPunct/>
        <w:topLinePunct w:val="0"/>
        <w:autoSpaceDN/>
        <w:bidi w:val="0"/>
        <w:adjustRightInd/>
        <w:spacing w:line="560" w:lineRule="exact"/>
        <w:ind w:firstLine="616" w:firstLineChars="192"/>
        <w:jc w:val="left"/>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（三）人员概况</w:t>
      </w:r>
    </w:p>
    <w:p>
      <w:pPr>
        <w:keepNext w:val="0"/>
        <w:keepLines w:val="0"/>
        <w:pageBreakBefore w:val="0"/>
        <w:kinsoku/>
        <w:wordWrap/>
        <w:overflowPunct/>
        <w:topLinePunct w:val="0"/>
        <w:autoSpaceDN/>
        <w:bidi w:val="0"/>
        <w:adjustRightIn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本部门总编制10名，其中：参照公务员法管理的事业编制8名，工勤人员2名。在职人员总数</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名，其中参照公务员法管理的事业编制</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名，工勤人员2名；退休人员2名。</w:t>
      </w:r>
    </w:p>
    <w:p>
      <w:pPr>
        <w:keepNext w:val="0"/>
        <w:keepLines w:val="0"/>
        <w:pageBreakBefore w:val="0"/>
        <w:kinsoku/>
        <w:wordWrap/>
        <w:overflowPunct/>
        <w:topLinePunct w:val="0"/>
        <w:autoSpaceDN/>
        <w:bidi w:val="0"/>
        <w:adjustRightInd/>
        <w:spacing w:line="560" w:lineRule="exact"/>
        <w:ind w:firstLine="640" w:firstLineChars="200"/>
        <w:textAlignment w:val="auto"/>
        <w:rPr>
          <w:rFonts w:hint="eastAsia" w:ascii="黑体" w:hAnsi="宋体" w:eastAsia="黑体" w:cs="宋体"/>
          <w:kern w:val="0"/>
          <w:sz w:val="32"/>
          <w:szCs w:val="32"/>
        </w:rPr>
      </w:pPr>
      <w:r>
        <w:rPr>
          <w:rFonts w:hint="eastAsia" w:ascii="黑体" w:hAnsi="宋体" w:eastAsia="黑体" w:cs="宋体"/>
          <w:kern w:val="0"/>
          <w:sz w:val="32"/>
          <w:szCs w:val="32"/>
        </w:rPr>
        <w:t>二、部门财政资金收支情况</w:t>
      </w:r>
    </w:p>
    <w:p>
      <w:pPr>
        <w:keepNext w:val="0"/>
        <w:keepLines w:val="0"/>
        <w:pageBreakBefore w:val="0"/>
        <w:kinsoku/>
        <w:wordWrap/>
        <w:overflowPunct/>
        <w:topLinePunct w:val="0"/>
        <w:autoSpaceDN/>
        <w:bidi w:val="0"/>
        <w:adjustRightInd/>
        <w:spacing w:line="560" w:lineRule="exact"/>
        <w:ind w:firstLine="642" w:firstLineChars="200"/>
        <w:textAlignment w:val="auto"/>
        <w:rPr>
          <w:rFonts w:hint="eastAsia"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（一）部门财政资金收入情况</w:t>
      </w:r>
    </w:p>
    <w:p>
      <w:pPr>
        <w:keepNext w:val="0"/>
        <w:keepLines w:val="0"/>
        <w:pageBreakBefore w:val="0"/>
        <w:widowControl w:val="0"/>
        <w:suppressLineNumbers w:val="0"/>
        <w:kinsoku/>
        <w:wordWrap/>
        <w:overflowPunct/>
        <w:topLinePunct w:val="0"/>
        <w:autoSpaceDE w:val="0"/>
        <w:autoSpaceDN/>
        <w:bidi w:val="0"/>
        <w:adjustRightInd/>
        <w:snapToGrid w:val="0"/>
        <w:spacing w:line="560" w:lineRule="exact"/>
        <w:ind w:left="0" w:firstLine="640" w:firstLineChars="200"/>
        <w:textAlignment w:val="auto"/>
        <w:rPr>
          <w:rFonts w:hint="eastAsia" w:ascii="仿宋_GB2312" w:hAnsi="仿宋" w:eastAsia="仿宋_GB2312" w:cs="宋体"/>
          <w:kern w:val="0"/>
          <w:sz w:val="32"/>
          <w:szCs w:val="32"/>
          <w:highlight w:val="darkGray"/>
        </w:rPr>
      </w:pPr>
      <w:r>
        <w:rPr>
          <w:rFonts w:hint="eastAsia" w:ascii="仿宋_GB2312" w:hAnsi="仿宋" w:eastAsia="仿宋_GB2312" w:cs="宋体"/>
          <w:kern w:val="0"/>
          <w:sz w:val="32"/>
          <w:szCs w:val="32"/>
          <w:highlight w:val="none"/>
          <w:lang w:val="en-US" w:eastAsia="zh-CN"/>
        </w:rPr>
        <w:t>依据决算报表</w:t>
      </w:r>
      <w:r>
        <w:rPr>
          <w:rFonts w:hint="eastAsia" w:ascii="仿宋_GB2312" w:hAnsi="仿宋" w:eastAsia="仿宋_GB2312" w:cs="宋体"/>
          <w:kern w:val="0"/>
          <w:sz w:val="32"/>
          <w:szCs w:val="32"/>
          <w:highlight w:val="none"/>
        </w:rPr>
        <w:t>202</w:t>
      </w:r>
      <w:r>
        <w:rPr>
          <w:rFonts w:hint="eastAsia" w:ascii="仿宋_GB2312" w:hAnsi="仿宋" w:eastAsia="仿宋_GB2312" w:cs="宋体"/>
          <w:kern w:val="0"/>
          <w:sz w:val="32"/>
          <w:szCs w:val="32"/>
          <w:highlight w:val="none"/>
          <w:lang w:val="en-US" w:eastAsia="zh-CN"/>
        </w:rPr>
        <w:t>2</w:t>
      </w:r>
      <w:r>
        <w:rPr>
          <w:rFonts w:hint="eastAsia" w:ascii="仿宋_GB2312" w:hAnsi="仿宋" w:eastAsia="仿宋_GB2312"/>
          <w:sz w:val="32"/>
          <w:szCs w:val="32"/>
          <w:highlight w:val="none"/>
        </w:rPr>
        <w:t>年总收入</w:t>
      </w:r>
      <w:r>
        <w:rPr>
          <w:rFonts w:hint="eastAsia" w:ascii="仿宋_GB2312" w:hAnsi="仿宋" w:eastAsia="仿宋_GB2312" w:cs="宋体"/>
          <w:kern w:val="0"/>
          <w:sz w:val="32"/>
          <w:szCs w:val="32"/>
          <w:highlight w:val="none"/>
        </w:rPr>
        <w:t>463.03</w:t>
      </w:r>
      <w:r>
        <w:rPr>
          <w:rFonts w:hint="eastAsia" w:ascii="仿宋_GB2312" w:hAnsi="仿宋" w:eastAsia="仿宋_GB2312" w:cs="宋体"/>
          <w:kern w:val="0"/>
          <w:sz w:val="32"/>
          <w:szCs w:val="32"/>
          <w:highlight w:val="none"/>
          <w:lang w:eastAsia="zh-CN"/>
        </w:rPr>
        <w:t>万</w:t>
      </w:r>
      <w:r>
        <w:rPr>
          <w:rFonts w:hint="eastAsia" w:ascii="仿宋_GB2312" w:hAnsi="仿宋" w:eastAsia="仿宋_GB2312"/>
          <w:sz w:val="32"/>
          <w:szCs w:val="32"/>
          <w:highlight w:val="none"/>
        </w:rPr>
        <w:t>元，其中：</w:t>
      </w:r>
      <w:r>
        <w:rPr>
          <w:rFonts w:hint="eastAsia" w:ascii="仿宋_GB2312" w:hAnsi="仿宋" w:eastAsia="仿宋_GB2312" w:cs="仿宋_GB2312"/>
          <w:kern w:val="0"/>
          <w:sz w:val="32"/>
          <w:szCs w:val="32"/>
          <w:highlight w:val="none"/>
        </w:rPr>
        <w:t>财政拨款收入为</w:t>
      </w:r>
      <w:r>
        <w:rPr>
          <w:rFonts w:hint="eastAsia" w:ascii="仿宋_GB2312" w:hAnsi="仿宋" w:eastAsia="仿宋_GB2312" w:cs="宋体"/>
          <w:kern w:val="0"/>
          <w:sz w:val="32"/>
          <w:szCs w:val="32"/>
          <w:highlight w:val="none"/>
        </w:rPr>
        <w:t>463.03</w:t>
      </w:r>
      <w:r>
        <w:rPr>
          <w:rFonts w:hint="eastAsia" w:ascii="仿宋_GB2312" w:hAnsi="仿宋" w:eastAsia="仿宋_GB2312" w:cs="宋体"/>
          <w:kern w:val="0"/>
          <w:sz w:val="32"/>
          <w:szCs w:val="32"/>
          <w:highlight w:val="none"/>
          <w:lang w:eastAsia="zh-CN"/>
        </w:rPr>
        <w:t>万</w:t>
      </w:r>
      <w:r>
        <w:rPr>
          <w:rFonts w:hint="eastAsia" w:ascii="仿宋_GB2312" w:hAnsi="仿宋" w:eastAsia="仿宋_GB2312" w:cs="仿宋_GB2312"/>
          <w:kern w:val="0"/>
          <w:sz w:val="32"/>
          <w:szCs w:val="32"/>
          <w:highlight w:val="none"/>
        </w:rPr>
        <w:t>元，其中：</w:t>
      </w:r>
      <w:r>
        <w:rPr>
          <w:rFonts w:hint="eastAsia" w:ascii="仿宋_GB2312" w:hAnsi="仿宋" w:eastAsia="仿宋_GB2312" w:cs="宋体"/>
          <w:kern w:val="0"/>
          <w:sz w:val="32"/>
          <w:szCs w:val="32"/>
          <w:highlight w:val="none"/>
        </w:rPr>
        <w:t>2080505机关事业单位基本养老保险缴费支出22.48</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2080506机关事业单位职业年金缴费支出10</w:t>
      </w:r>
      <w:r>
        <w:rPr>
          <w:rFonts w:hint="eastAsia" w:ascii="仿宋_GB2312" w:hAnsi="仿宋" w:eastAsia="仿宋_GB2312" w:cs="宋体"/>
          <w:kern w:val="0"/>
          <w:sz w:val="32"/>
          <w:szCs w:val="32"/>
          <w:highlight w:val="none"/>
          <w:lang w:eastAsia="zh-CN"/>
        </w:rPr>
        <w:t>万</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2101101行政单位医疗10.84</w:t>
      </w:r>
      <w:r>
        <w:rPr>
          <w:rFonts w:hint="eastAsia" w:ascii="仿宋_GB2312" w:hAnsi="仿宋" w:eastAsia="仿宋_GB2312" w:cs="宋体"/>
          <w:kern w:val="0"/>
          <w:sz w:val="32"/>
          <w:szCs w:val="32"/>
          <w:highlight w:val="none"/>
          <w:lang w:eastAsia="zh-CN"/>
        </w:rPr>
        <w:t>万</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2101103公务员医疗</w:t>
      </w:r>
      <w:r>
        <w:rPr>
          <w:rFonts w:hint="eastAsia" w:ascii="仿宋_GB2312" w:hAnsi="仿宋" w:eastAsia="仿宋_GB2312" w:cs="仿宋_GB2312"/>
          <w:kern w:val="0"/>
          <w:sz w:val="32"/>
          <w:szCs w:val="32"/>
          <w:highlight w:val="none"/>
        </w:rPr>
        <w:t>补助</w:t>
      </w:r>
      <w:r>
        <w:rPr>
          <w:rFonts w:hint="eastAsia" w:ascii="仿宋_GB2312" w:hAnsi="仿宋" w:eastAsia="仿宋_GB2312" w:cs="宋体"/>
          <w:kern w:val="0"/>
          <w:sz w:val="32"/>
          <w:szCs w:val="32"/>
          <w:highlight w:val="none"/>
        </w:rPr>
        <w:t>2.2</w:t>
      </w:r>
      <w:r>
        <w:rPr>
          <w:rFonts w:hint="eastAsia" w:ascii="仿宋_GB2312" w:hAnsi="仿宋" w:eastAsia="仿宋_GB2312" w:cs="宋体"/>
          <w:kern w:val="0"/>
          <w:sz w:val="32"/>
          <w:szCs w:val="32"/>
          <w:highlight w:val="none"/>
          <w:lang w:eastAsia="zh-CN"/>
        </w:rPr>
        <w:t>万</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2210201住房公积金17.53</w:t>
      </w:r>
      <w:r>
        <w:rPr>
          <w:rFonts w:hint="eastAsia" w:ascii="仿宋_GB2312" w:hAnsi="仿宋" w:eastAsia="仿宋_GB2312" w:cs="宋体"/>
          <w:kern w:val="0"/>
          <w:sz w:val="32"/>
          <w:szCs w:val="32"/>
          <w:highlight w:val="none"/>
          <w:lang w:eastAsia="zh-CN"/>
        </w:rPr>
        <w:t>万</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2081601行政运行261.29</w:t>
      </w:r>
      <w:r>
        <w:rPr>
          <w:rFonts w:hint="eastAsia" w:ascii="仿宋_GB2312" w:hAnsi="仿宋" w:eastAsia="仿宋_GB2312" w:cs="宋体"/>
          <w:kern w:val="0"/>
          <w:sz w:val="32"/>
          <w:szCs w:val="32"/>
          <w:highlight w:val="none"/>
          <w:lang w:eastAsia="zh-CN"/>
        </w:rPr>
        <w:t>万</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2081602 一般行政管理事务138.68</w:t>
      </w:r>
      <w:r>
        <w:rPr>
          <w:rFonts w:hint="eastAsia" w:ascii="仿宋_GB2312" w:hAnsi="仿宋" w:eastAsia="仿宋_GB2312" w:cs="宋体"/>
          <w:kern w:val="0"/>
          <w:sz w:val="32"/>
          <w:szCs w:val="32"/>
          <w:highlight w:val="none"/>
          <w:lang w:eastAsia="zh-CN"/>
        </w:rPr>
        <w:t>万</w:t>
      </w:r>
      <w:r>
        <w:rPr>
          <w:rFonts w:hint="eastAsia" w:ascii="仿宋_GB2312" w:hAnsi="仿宋" w:eastAsia="仿宋_GB2312" w:cs="仿宋_GB2312"/>
          <w:kern w:val="0"/>
          <w:sz w:val="32"/>
          <w:szCs w:val="32"/>
          <w:highlight w:val="none"/>
        </w:rPr>
        <w:t>元；</w:t>
      </w:r>
    </w:p>
    <w:p>
      <w:pPr>
        <w:keepNext w:val="0"/>
        <w:keepLines w:val="0"/>
        <w:pageBreakBefore w:val="0"/>
        <w:kinsoku/>
        <w:wordWrap/>
        <w:overflowPunct/>
        <w:topLinePunct w:val="0"/>
        <w:autoSpaceDN/>
        <w:bidi w:val="0"/>
        <w:adjustRightInd/>
        <w:snapToGrid w:val="0"/>
        <w:spacing w:line="560" w:lineRule="exact"/>
        <w:ind w:firstLine="642" w:firstLineChars="200"/>
        <w:textAlignment w:val="auto"/>
        <w:rPr>
          <w:rFonts w:hint="eastAsia"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（二）部门财政资金支出情况</w:t>
      </w:r>
    </w:p>
    <w:p>
      <w:pPr>
        <w:keepNext w:val="0"/>
        <w:keepLines w:val="0"/>
        <w:pageBreakBefore w:val="0"/>
        <w:kinsoku/>
        <w:wordWrap/>
        <w:overflowPunct/>
        <w:topLinePunct w:val="0"/>
        <w:autoSpaceDN/>
        <w:bidi w:val="0"/>
        <w:adjustRightInd/>
        <w:snapToGrid w:val="0"/>
        <w:spacing w:line="560" w:lineRule="exact"/>
        <w:ind w:firstLine="640" w:firstLineChars="200"/>
        <w:textAlignment w:val="auto"/>
        <w:rPr>
          <w:rFonts w:hint="eastAsia" w:ascii="仿宋_GB2312" w:hAnsi="宋体" w:eastAsia="仿宋_GB2312" w:cs="宋体"/>
          <w:kern w:val="0"/>
          <w:sz w:val="32"/>
          <w:szCs w:val="32"/>
          <w:highlight w:val="none"/>
        </w:rPr>
      </w:pPr>
      <w:r>
        <w:rPr>
          <w:rFonts w:hint="eastAsia" w:ascii="仿宋_GB2312" w:hAnsi="仿宋" w:eastAsia="仿宋_GB2312"/>
          <w:sz w:val="32"/>
          <w:szCs w:val="32"/>
          <w:highlight w:val="none"/>
          <w:lang w:val="en-US" w:eastAsia="zh-CN"/>
        </w:rPr>
        <w:t>2022</w:t>
      </w:r>
      <w:r>
        <w:rPr>
          <w:rFonts w:hint="eastAsia" w:ascii="仿宋_GB2312" w:hAnsi="仿宋" w:eastAsia="仿宋_GB2312"/>
          <w:sz w:val="32"/>
          <w:szCs w:val="32"/>
          <w:highlight w:val="none"/>
        </w:rPr>
        <w:t>年总支出463.03</w:t>
      </w:r>
      <w:r>
        <w:rPr>
          <w:rFonts w:hint="eastAsia" w:ascii="仿宋_GB2312" w:hAnsi="仿宋" w:eastAsia="仿宋_GB2312" w:cs="宋体"/>
          <w:kern w:val="0"/>
          <w:sz w:val="32"/>
          <w:szCs w:val="32"/>
          <w:highlight w:val="none"/>
          <w:lang w:eastAsia="zh-CN"/>
        </w:rPr>
        <w:t>万</w:t>
      </w:r>
      <w:r>
        <w:rPr>
          <w:rFonts w:hint="eastAsia" w:ascii="仿宋_GB2312" w:hAnsi="仿宋" w:eastAsia="仿宋_GB2312"/>
          <w:sz w:val="32"/>
          <w:szCs w:val="32"/>
          <w:highlight w:val="none"/>
        </w:rPr>
        <w:t>元，其中：工资福利支出</w:t>
      </w:r>
      <w:r>
        <w:rPr>
          <w:rFonts w:hint="eastAsia" w:ascii="仿宋_GB2312" w:hAnsi="仿宋" w:eastAsia="仿宋_GB2312"/>
          <w:sz w:val="32"/>
          <w:szCs w:val="32"/>
          <w:highlight w:val="none"/>
          <w:lang w:val="en-US" w:eastAsia="zh-CN"/>
        </w:rPr>
        <w:t>284.62万</w:t>
      </w:r>
      <w:r>
        <w:rPr>
          <w:rFonts w:hint="eastAsia" w:ascii="仿宋_GB2312" w:hAnsi="仿宋" w:eastAsia="仿宋_GB2312"/>
          <w:sz w:val="32"/>
          <w:szCs w:val="32"/>
          <w:highlight w:val="none"/>
        </w:rPr>
        <w:t>元，</w:t>
      </w:r>
      <w:r>
        <w:rPr>
          <w:rFonts w:hint="eastAsia" w:ascii="仿宋_GB2312" w:hAnsi="宋体" w:eastAsia="仿宋_GB2312" w:cs="宋体"/>
          <w:kern w:val="0"/>
          <w:sz w:val="32"/>
          <w:szCs w:val="32"/>
          <w:highlight w:val="none"/>
        </w:rPr>
        <w:t>占支出的</w:t>
      </w:r>
      <w:r>
        <w:rPr>
          <w:rFonts w:hint="eastAsia" w:ascii="仿宋_GB2312" w:hAnsi="宋体" w:eastAsia="仿宋_GB2312" w:cs="宋体"/>
          <w:kern w:val="0"/>
          <w:sz w:val="32"/>
          <w:szCs w:val="32"/>
          <w:highlight w:val="none"/>
          <w:lang w:val="en-US" w:eastAsia="zh-CN"/>
        </w:rPr>
        <w:t>61.47</w:t>
      </w:r>
      <w:r>
        <w:rPr>
          <w:rFonts w:hint="eastAsia" w:ascii="仿宋_GB2312" w:hAnsi="宋体" w:eastAsia="仿宋_GB2312" w:cs="宋体"/>
          <w:kern w:val="0"/>
          <w:sz w:val="32"/>
          <w:szCs w:val="32"/>
          <w:highlight w:val="none"/>
        </w:rPr>
        <w:t>%；</w:t>
      </w:r>
      <w:r>
        <w:rPr>
          <w:rFonts w:hint="eastAsia" w:ascii="仿宋_GB2312" w:hAnsi="仿宋" w:eastAsia="仿宋_GB2312"/>
          <w:sz w:val="32"/>
          <w:szCs w:val="32"/>
          <w:highlight w:val="none"/>
        </w:rPr>
        <w:t>商品和服务支出</w:t>
      </w:r>
      <w:r>
        <w:rPr>
          <w:rFonts w:hint="eastAsia" w:ascii="仿宋_GB2312" w:hAnsi="仿宋" w:eastAsia="仿宋_GB2312"/>
          <w:sz w:val="32"/>
          <w:szCs w:val="32"/>
          <w:highlight w:val="none"/>
          <w:lang w:val="en-US" w:eastAsia="zh-CN"/>
        </w:rPr>
        <w:t>134.32万</w:t>
      </w:r>
      <w:r>
        <w:rPr>
          <w:rFonts w:hint="eastAsia" w:ascii="仿宋_GB2312" w:hAnsi="仿宋" w:eastAsia="仿宋_GB2312"/>
          <w:sz w:val="32"/>
          <w:szCs w:val="32"/>
          <w:highlight w:val="none"/>
        </w:rPr>
        <w:t>元，</w:t>
      </w:r>
      <w:r>
        <w:rPr>
          <w:rFonts w:hint="eastAsia" w:ascii="仿宋_GB2312" w:hAnsi="宋体" w:eastAsia="仿宋_GB2312" w:cs="宋体"/>
          <w:kern w:val="0"/>
          <w:sz w:val="32"/>
          <w:szCs w:val="32"/>
          <w:highlight w:val="none"/>
        </w:rPr>
        <w:t>占支出的</w:t>
      </w:r>
      <w:r>
        <w:rPr>
          <w:rFonts w:hint="eastAsia" w:ascii="仿宋_GB2312" w:hAnsi="宋体" w:eastAsia="仿宋_GB2312" w:cs="宋体"/>
          <w:kern w:val="0"/>
          <w:sz w:val="32"/>
          <w:szCs w:val="32"/>
          <w:highlight w:val="none"/>
          <w:lang w:val="en-US" w:eastAsia="zh-CN"/>
        </w:rPr>
        <w:t>29.01</w:t>
      </w:r>
      <w:r>
        <w:rPr>
          <w:rFonts w:hint="eastAsia" w:ascii="仿宋_GB2312" w:hAnsi="宋体" w:eastAsia="仿宋_GB2312" w:cs="宋体"/>
          <w:kern w:val="0"/>
          <w:sz w:val="32"/>
          <w:szCs w:val="32"/>
          <w:highlight w:val="none"/>
        </w:rPr>
        <w:t>%；</w:t>
      </w:r>
      <w:r>
        <w:rPr>
          <w:rFonts w:hint="eastAsia" w:ascii="仿宋_GB2312" w:hAnsi="仿宋" w:eastAsia="仿宋_GB2312"/>
          <w:sz w:val="32"/>
          <w:szCs w:val="32"/>
          <w:highlight w:val="none"/>
        </w:rPr>
        <w:t>对家庭和个人补助支出</w:t>
      </w:r>
      <w:r>
        <w:rPr>
          <w:rFonts w:hint="eastAsia" w:ascii="仿宋_GB2312" w:hAnsi="仿宋" w:eastAsia="仿宋_GB2312"/>
          <w:sz w:val="32"/>
          <w:szCs w:val="32"/>
          <w:highlight w:val="none"/>
          <w:lang w:val="en-US" w:eastAsia="zh-CN"/>
        </w:rPr>
        <w:t>44.09万</w:t>
      </w:r>
      <w:r>
        <w:rPr>
          <w:rFonts w:hint="eastAsia" w:ascii="仿宋_GB2312" w:hAnsi="仿宋" w:eastAsia="仿宋_GB2312"/>
          <w:sz w:val="32"/>
          <w:szCs w:val="32"/>
          <w:highlight w:val="none"/>
        </w:rPr>
        <w:t>元，</w:t>
      </w:r>
      <w:r>
        <w:rPr>
          <w:rFonts w:hint="eastAsia" w:ascii="仿宋_GB2312" w:hAnsi="宋体" w:eastAsia="仿宋_GB2312" w:cs="宋体"/>
          <w:kern w:val="0"/>
          <w:sz w:val="32"/>
          <w:szCs w:val="32"/>
          <w:highlight w:val="none"/>
        </w:rPr>
        <w:t>占支出的</w:t>
      </w:r>
      <w:r>
        <w:rPr>
          <w:rFonts w:hint="eastAsia" w:ascii="仿宋_GB2312" w:hAnsi="宋体" w:eastAsia="仿宋_GB2312" w:cs="宋体"/>
          <w:kern w:val="0"/>
          <w:sz w:val="32"/>
          <w:szCs w:val="32"/>
          <w:highlight w:val="none"/>
          <w:lang w:val="en-US" w:eastAsia="zh-CN"/>
        </w:rPr>
        <w:t>9.52</w:t>
      </w:r>
      <w:r>
        <w:rPr>
          <w:rFonts w:hint="eastAsia" w:ascii="仿宋_GB2312" w:hAnsi="宋体" w:eastAsia="仿宋_GB2312" w:cs="宋体"/>
          <w:kern w:val="0"/>
          <w:sz w:val="32"/>
          <w:szCs w:val="32"/>
          <w:highlight w:val="none"/>
        </w:rPr>
        <w:t>%。</w:t>
      </w:r>
    </w:p>
    <w:p>
      <w:pPr>
        <w:keepNext w:val="0"/>
        <w:keepLines w:val="0"/>
        <w:pageBreakBefore w:val="0"/>
        <w:numPr>
          <w:ilvl w:val="0"/>
          <w:numId w:val="4"/>
        </w:numPr>
        <w:kinsoku/>
        <w:wordWrap/>
        <w:overflowPunct/>
        <w:topLinePunct w:val="0"/>
        <w:autoSpaceDN/>
        <w:bidi w:val="0"/>
        <w:adjustRightInd/>
        <w:spacing w:line="560" w:lineRule="exact"/>
        <w:ind w:firstLine="640" w:firstLineChars="200"/>
        <w:textAlignment w:val="auto"/>
        <w:rPr>
          <w:rFonts w:hint="eastAsia" w:ascii="黑体" w:hAnsi="宋体" w:eastAsia="黑体" w:cs="宋体"/>
          <w:kern w:val="0"/>
          <w:sz w:val="32"/>
          <w:szCs w:val="32"/>
        </w:rPr>
      </w:pPr>
      <w:r>
        <w:rPr>
          <w:rFonts w:hint="eastAsia" w:ascii="黑体" w:hAnsi="宋体" w:eastAsia="黑体" w:cs="宋体"/>
          <w:kern w:val="0"/>
          <w:sz w:val="32"/>
          <w:szCs w:val="32"/>
        </w:rPr>
        <w:t>部门整体预算绩效管理情况（得分</w:t>
      </w:r>
      <w:r>
        <w:rPr>
          <w:rFonts w:hint="eastAsia" w:ascii="黑体" w:hAnsi="宋体" w:eastAsia="黑体" w:cs="宋体"/>
          <w:kern w:val="0"/>
          <w:sz w:val="32"/>
          <w:szCs w:val="32"/>
          <w:lang w:val="en-US" w:eastAsia="zh-CN"/>
        </w:rPr>
        <w:t>93</w:t>
      </w:r>
      <w:r>
        <w:rPr>
          <w:rFonts w:hint="eastAsia" w:ascii="黑体" w:hAnsi="宋体" w:eastAsia="黑体" w:cs="宋体"/>
          <w:kern w:val="0"/>
          <w:sz w:val="32"/>
          <w:szCs w:val="32"/>
        </w:rPr>
        <w:t>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（一）</w:t>
      </w:r>
      <w:r>
        <w:rPr>
          <w:rFonts w:hint="eastAsia" w:ascii="楷体_GB2312" w:hAnsi="宋体" w:eastAsia="楷体_GB2312" w:cs="宋体"/>
          <w:b/>
          <w:kern w:val="0"/>
          <w:sz w:val="32"/>
          <w:szCs w:val="32"/>
          <w:lang w:eastAsia="zh-CN"/>
        </w:rPr>
        <w:t>目标管理</w:t>
      </w:r>
      <w:r>
        <w:rPr>
          <w:rFonts w:hint="eastAsia" w:ascii="楷体_GB2312" w:hAnsi="宋体" w:eastAsia="楷体_GB2312" w:cs="宋体"/>
          <w:b/>
          <w:kern w:val="0"/>
          <w:sz w:val="32"/>
          <w:szCs w:val="32"/>
        </w:rPr>
        <w:t>（得分</w:t>
      </w:r>
      <w:r>
        <w:rPr>
          <w:rFonts w:hint="eastAsia" w:ascii="楷体_GB2312" w:hAnsi="宋体" w:eastAsia="楷体_GB2312" w:cs="宋体"/>
          <w:b/>
          <w:kern w:val="0"/>
          <w:sz w:val="32"/>
          <w:szCs w:val="32"/>
          <w:lang w:val="en-US" w:eastAsia="zh-CN"/>
        </w:rPr>
        <w:t>15</w:t>
      </w:r>
      <w:r>
        <w:rPr>
          <w:rFonts w:hint="eastAsia" w:ascii="楷体_GB2312" w:hAnsi="宋体" w:eastAsia="楷体_GB2312" w:cs="宋体"/>
          <w:b/>
          <w:kern w:val="0"/>
          <w:sz w:val="32"/>
          <w:szCs w:val="32"/>
        </w:rPr>
        <w:t>分）</w:t>
      </w:r>
    </w:p>
    <w:p>
      <w:pPr>
        <w:keepNext w:val="0"/>
        <w:keepLines w:val="0"/>
        <w:pageBreakBefore w:val="0"/>
        <w:kinsoku/>
        <w:wordWrap/>
        <w:overflowPunct/>
        <w:topLinePunct w:val="0"/>
        <w:autoSpaceDN/>
        <w:bidi w:val="0"/>
        <w:adjustRightIn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严格按照预算编制要求，准确、及时、完整的完成预算编制并提交部门预算草案。预算编制中，特别注意对预算编制准确性的把握，并严格按照要求进行预算执行调整，确保预算执行到位，加快执行进度。按照预算编制要求合理、完整的编制部门预算整体绩效目标及项目绩效目标。</w:t>
      </w:r>
    </w:p>
    <w:p>
      <w:pPr>
        <w:keepNext w:val="0"/>
        <w:keepLines w:val="0"/>
        <w:pageBreakBefore w:val="0"/>
        <w:kinsoku/>
        <w:wordWrap/>
        <w:overflowPunct/>
        <w:topLinePunct w:val="0"/>
        <w:autoSpaceDN/>
        <w:bidi w:val="0"/>
        <w:adjustRightInd/>
        <w:spacing w:line="560" w:lineRule="exact"/>
        <w:ind w:firstLine="642" w:firstLineChars="200"/>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（二）</w:t>
      </w:r>
      <w:r>
        <w:rPr>
          <w:rFonts w:hint="eastAsia" w:ascii="楷体_GB2312" w:hAnsi="宋体" w:eastAsia="楷体_GB2312" w:cs="宋体"/>
          <w:b/>
          <w:kern w:val="0"/>
          <w:sz w:val="32"/>
          <w:szCs w:val="32"/>
          <w:lang w:val="en-US" w:eastAsia="zh-CN"/>
        </w:rPr>
        <w:t>过程控制</w:t>
      </w:r>
      <w:r>
        <w:rPr>
          <w:rFonts w:hint="eastAsia" w:ascii="楷体_GB2312" w:hAnsi="宋体" w:eastAsia="楷体_GB2312" w:cs="宋体"/>
          <w:b/>
          <w:kern w:val="0"/>
          <w:sz w:val="32"/>
          <w:szCs w:val="32"/>
        </w:rPr>
        <w:t>（得分</w:t>
      </w:r>
      <w:r>
        <w:rPr>
          <w:rFonts w:hint="eastAsia" w:ascii="楷体_GB2312" w:hAnsi="宋体" w:eastAsia="楷体_GB2312" w:cs="宋体"/>
          <w:b/>
          <w:kern w:val="0"/>
          <w:sz w:val="32"/>
          <w:szCs w:val="32"/>
          <w:lang w:val="en-US" w:eastAsia="zh-CN"/>
        </w:rPr>
        <w:t>10</w:t>
      </w:r>
      <w:r>
        <w:rPr>
          <w:rFonts w:hint="eastAsia" w:ascii="楷体_GB2312" w:hAnsi="宋体" w:eastAsia="楷体_GB2312" w:cs="宋体"/>
          <w:b/>
          <w:kern w:val="0"/>
          <w:sz w:val="32"/>
          <w:szCs w:val="32"/>
        </w:rPr>
        <w:t>分）</w:t>
      </w:r>
    </w:p>
    <w:p>
      <w:pPr>
        <w:keepNext w:val="0"/>
        <w:keepLines w:val="0"/>
        <w:pageBreakBefore w:val="0"/>
        <w:kinsoku/>
        <w:wordWrap/>
        <w:overflowPunct/>
        <w:topLinePunct w:val="0"/>
        <w:autoSpaceDN/>
        <w:bidi w:val="0"/>
        <w:adjustRightIn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按照要求严格预算执行管理，按照“厉行节约、反对浪费”的规定，严格控制“三公”经费支出，加强了机关水、电、公务用车管理，努力降低水、电及车辆燃修费用。</w:t>
      </w:r>
      <w:r>
        <w:rPr>
          <w:rFonts w:hint="eastAsia" w:ascii="仿宋_GB2312" w:hAnsi="仿宋_GB2312" w:eastAsia="仿宋_GB2312" w:cs="仿宋_GB2312"/>
          <w:sz w:val="32"/>
          <w:szCs w:val="32"/>
          <w:lang w:val="en-US" w:eastAsia="zh-CN"/>
        </w:rPr>
        <w:t>预算执行进度2022年</w:t>
      </w:r>
      <w:r>
        <w:rPr>
          <w:rFonts w:hint="eastAsia" w:ascii="仿宋_GB2312" w:hAnsi="仿宋_GB2312" w:eastAsia="仿宋_GB2312" w:cs="仿宋_GB2312"/>
          <w:sz w:val="32"/>
          <w:szCs w:val="32"/>
        </w:rPr>
        <w:t>1-8月</w:t>
      </w:r>
      <w:r>
        <w:rPr>
          <w:rFonts w:hint="eastAsia" w:ascii="仿宋_GB2312" w:hAnsi="仿宋_GB2312" w:eastAsia="仿宋_GB2312" w:cs="仿宋_GB2312"/>
          <w:sz w:val="32"/>
          <w:szCs w:val="32"/>
          <w:lang w:val="en-US" w:eastAsia="zh-CN"/>
        </w:rPr>
        <w:t>整体</w:t>
      </w:r>
      <w:r>
        <w:rPr>
          <w:rFonts w:hint="eastAsia" w:ascii="仿宋_GB2312" w:hAnsi="仿宋_GB2312" w:eastAsia="仿宋_GB2312" w:cs="仿宋_GB2312"/>
          <w:sz w:val="32"/>
          <w:szCs w:val="32"/>
        </w:rPr>
        <w:t>预算执行</w:t>
      </w:r>
      <w:r>
        <w:rPr>
          <w:rFonts w:hint="eastAsia" w:ascii="仿宋_GB2312" w:hAnsi="仿宋_GB2312" w:eastAsia="仿宋_GB2312" w:cs="仿宋_GB2312"/>
          <w:sz w:val="32"/>
          <w:szCs w:val="32"/>
          <w:lang w:val="en-US" w:eastAsia="zh-CN"/>
        </w:rPr>
        <w:t>实际支付255.85万元，已支付初始预算55.78%</w:t>
      </w:r>
      <w:r>
        <w:rPr>
          <w:rFonts w:hint="eastAsia" w:ascii="仿宋_GB2312" w:hAnsi="仿宋_GB2312" w:eastAsia="仿宋_GB2312" w:cs="仿宋_GB2312"/>
          <w:sz w:val="32"/>
          <w:szCs w:val="32"/>
          <w:lang w:eastAsia="zh-CN"/>
        </w:rPr>
        <w:t>。</w:t>
      </w:r>
    </w:p>
    <w:p>
      <w:pPr>
        <w:keepNext w:val="0"/>
        <w:keepLines w:val="0"/>
        <w:pageBreakBefore w:val="0"/>
        <w:widowControl/>
        <w:numPr>
          <w:ilvl w:val="0"/>
          <w:numId w:val="0"/>
        </w:numPr>
        <w:kinsoku/>
        <w:wordWrap/>
        <w:overflowPunct/>
        <w:topLinePunct w:val="0"/>
        <w:autoSpaceDN/>
        <w:bidi w:val="0"/>
        <w:adjustRightInd/>
        <w:spacing w:line="560" w:lineRule="exact"/>
        <w:ind w:firstLine="642" w:firstLineChars="200"/>
        <w:jc w:val="left"/>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lang w:val="en-US" w:eastAsia="zh-CN"/>
        </w:rPr>
        <w:t>(三）完成效率</w:t>
      </w:r>
      <w:r>
        <w:rPr>
          <w:rFonts w:hint="eastAsia" w:ascii="楷体_GB2312" w:hAnsi="宋体" w:eastAsia="楷体_GB2312" w:cs="宋体"/>
          <w:b/>
          <w:kern w:val="0"/>
          <w:sz w:val="32"/>
          <w:szCs w:val="32"/>
        </w:rPr>
        <w:t>（得分</w:t>
      </w:r>
      <w:r>
        <w:rPr>
          <w:rFonts w:hint="eastAsia" w:ascii="楷体_GB2312" w:hAnsi="宋体" w:eastAsia="楷体_GB2312" w:cs="宋体"/>
          <w:b/>
          <w:kern w:val="0"/>
          <w:sz w:val="32"/>
          <w:szCs w:val="32"/>
          <w:lang w:val="en-US" w:eastAsia="zh-CN"/>
        </w:rPr>
        <w:t>4</w:t>
      </w:r>
      <w:r>
        <w:rPr>
          <w:rFonts w:hint="eastAsia" w:ascii="楷体_GB2312" w:hAnsi="宋体" w:eastAsia="楷体_GB2312" w:cs="宋体"/>
          <w:b/>
          <w:kern w:val="0"/>
          <w:sz w:val="32"/>
          <w:szCs w:val="32"/>
        </w:rPr>
        <w:t>）</w:t>
      </w:r>
    </w:p>
    <w:p>
      <w:pPr>
        <w:keepNext w:val="0"/>
        <w:keepLines w:val="0"/>
        <w:pageBreakBefore w:val="0"/>
        <w:numPr>
          <w:ilvl w:val="0"/>
          <w:numId w:val="0"/>
        </w:numPr>
        <w:kinsoku/>
        <w:wordWrap/>
        <w:overflowPunct/>
        <w:topLinePunct w:val="0"/>
        <w:autoSpaceDN/>
        <w:bidi w:val="0"/>
        <w:adjustRightIn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预算支出在保障本部门工作运转、履行职能职责上整体情况良好。预算编制比较精确、合理</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2022年年终预算结余应急救援队专项经费专用设备购置结余0.06万元，防灾避险、救护培训项目经费培训费结余0.74万元，阿坝州备灾应急中心升级维护费用维修（护）费结余0.25万元，车辆大修费用川UV3500公务用车运行维护费0.04万元。</w:t>
      </w:r>
      <w:r>
        <w:rPr>
          <w:rFonts w:hint="eastAsia" w:ascii="仿宋_GB2312" w:hAnsi="宋体" w:eastAsia="仿宋_GB2312" w:cs="宋体"/>
          <w:kern w:val="0"/>
          <w:sz w:val="32"/>
          <w:szCs w:val="32"/>
        </w:rPr>
        <w:t>预算支出严格落实中央“八项”规定等厉行节约，反对浪费规定要求，加强三公经费支出管理，动态优化了年度预算安排，保障了经费高效运转。</w:t>
      </w:r>
    </w:p>
    <w:p>
      <w:pPr>
        <w:keepNext w:val="0"/>
        <w:keepLines w:val="0"/>
        <w:pageBreakBefore w:val="0"/>
        <w:numPr>
          <w:ilvl w:val="0"/>
          <w:numId w:val="0"/>
        </w:numPr>
        <w:kinsoku/>
        <w:wordWrap/>
        <w:overflowPunct/>
        <w:topLinePunct w:val="0"/>
        <w:autoSpaceDN/>
        <w:bidi w:val="0"/>
        <w:adjustRightInd/>
        <w:spacing w:line="560" w:lineRule="exact"/>
        <w:textAlignment w:val="auto"/>
        <w:rPr>
          <w:rFonts w:hint="eastAsia" w:ascii="楷体_GB2312" w:hAnsi="宋体" w:eastAsia="楷体_GB2312" w:cs="宋体"/>
          <w:b/>
          <w:kern w:val="0"/>
          <w:sz w:val="32"/>
          <w:szCs w:val="32"/>
          <w:lang w:val="en-US" w:eastAsia="zh-CN"/>
        </w:rPr>
      </w:pPr>
      <w:r>
        <w:rPr>
          <w:rFonts w:hint="eastAsia" w:ascii="楷体_GB2312" w:hAnsi="宋体" w:eastAsia="楷体_GB2312" w:cs="宋体"/>
          <w:b/>
          <w:kern w:val="0"/>
          <w:sz w:val="32"/>
          <w:szCs w:val="32"/>
          <w:lang w:val="en-US" w:eastAsia="zh-CN"/>
        </w:rPr>
        <w:t>（四）专项预算管理（30分）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我会按照要求进行自评打分，形成自评报告。</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2" w:firstLineChars="200"/>
        <w:textAlignment w:val="auto"/>
        <w:rPr>
          <w:rFonts w:hint="eastAsia" w:ascii="楷体_GB2312" w:hAnsi="宋体" w:eastAsia="楷体_GB2312" w:cs="宋体"/>
          <w:b/>
          <w:kern w:val="0"/>
          <w:sz w:val="32"/>
          <w:szCs w:val="32"/>
          <w:lang w:val="en-US" w:eastAsia="zh-CN"/>
        </w:rPr>
      </w:pPr>
      <w:r>
        <w:rPr>
          <w:rFonts w:hint="eastAsia" w:ascii="楷体_GB2312" w:hAnsi="宋体" w:eastAsia="楷体_GB2312" w:cs="宋体"/>
          <w:b/>
          <w:kern w:val="0"/>
          <w:sz w:val="32"/>
          <w:szCs w:val="32"/>
          <w:lang w:val="en-US" w:eastAsia="zh-CN"/>
        </w:rPr>
        <w:t>部门预算项目绩效（20）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楷体_GB2312" w:hAnsi="宋体" w:eastAsia="楷体_GB2312" w:cs="宋体"/>
          <w:b/>
          <w:kern w:val="0"/>
          <w:sz w:val="32"/>
          <w:szCs w:val="32"/>
          <w:lang w:val="en-US" w:eastAsia="zh-CN"/>
        </w:rPr>
      </w:pPr>
      <w:r>
        <w:rPr>
          <w:rFonts w:hint="eastAsia" w:ascii="楷体_GB2312" w:hAnsi="宋体" w:eastAsia="楷体_GB2312" w:cs="宋体"/>
          <w:b/>
          <w:kern w:val="0"/>
          <w:sz w:val="32"/>
          <w:szCs w:val="32"/>
          <w:lang w:val="en-US" w:eastAsia="zh-CN"/>
        </w:rPr>
        <w:t xml:space="preserve">  </w:t>
      </w:r>
      <w:r>
        <w:rPr>
          <w:rFonts w:hint="eastAsia" w:ascii="仿宋_GB2312" w:hAnsi="宋体" w:eastAsia="仿宋_GB2312" w:cs="宋体"/>
          <w:kern w:val="0"/>
          <w:sz w:val="32"/>
          <w:szCs w:val="32"/>
          <w:lang w:val="en-US" w:eastAsia="zh-CN"/>
        </w:rPr>
        <w:t>2022年我会项目预算139万元，实际支出138.68万元，做到了厉行节约，严格压减三公经费。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楷体_GB2312" w:hAnsi="宋体" w:eastAsia="楷体_GB2312" w:cs="宋体"/>
          <w:b/>
          <w:kern w:val="0"/>
          <w:sz w:val="32"/>
          <w:szCs w:val="32"/>
          <w:lang w:val="en-US" w:eastAsia="zh-CN"/>
        </w:rPr>
      </w:pPr>
      <w:r>
        <w:rPr>
          <w:rFonts w:hint="eastAsia" w:ascii="楷体_GB2312" w:hAnsi="宋体" w:eastAsia="楷体_GB2312" w:cs="宋体"/>
          <w:b/>
          <w:kern w:val="0"/>
          <w:sz w:val="32"/>
          <w:szCs w:val="32"/>
          <w:lang w:val="en-US" w:eastAsia="zh-CN"/>
        </w:rPr>
        <w:t>（六）绩效结果应用情况（14分）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通过整体支出绩效自查，考评，根据绩效考评结果，我会进一步细化科学合理的绩效评价指标、评价标准和评价方法，对项目资金的经济性、效率性和效益性进行客观、公正的评价，</w:t>
      </w:r>
      <w:r>
        <w:rPr>
          <w:rFonts w:hint="eastAsia" w:ascii="仿宋_GB2312" w:hAnsi="宋体" w:eastAsia="仿宋_GB2312" w:cs="宋体"/>
          <w:kern w:val="0"/>
          <w:sz w:val="32"/>
          <w:szCs w:val="32"/>
        </w:rPr>
        <w:t>严格按照国家的法律法规加强预算管理</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大力提倡勤俭节约，坚持把有限的经费用在</w:t>
      </w:r>
      <w:r>
        <w:rPr>
          <w:rFonts w:hint="eastAsia" w:ascii="仿宋_GB2312" w:hAnsi="宋体" w:eastAsia="仿宋_GB2312" w:cs="宋体"/>
          <w:kern w:val="0"/>
          <w:sz w:val="32"/>
          <w:szCs w:val="32"/>
          <w:lang w:val="en-US" w:eastAsia="zh-CN"/>
        </w:rPr>
        <w:t>易受损人群和</w:t>
      </w:r>
      <w:r>
        <w:rPr>
          <w:rFonts w:hint="eastAsia" w:ascii="仿宋_GB2312" w:hAnsi="宋体" w:eastAsia="仿宋_GB2312" w:cs="宋体"/>
          <w:kern w:val="0"/>
          <w:sz w:val="32"/>
          <w:szCs w:val="32"/>
        </w:rPr>
        <w:t>红十字</w:t>
      </w:r>
      <w:r>
        <w:rPr>
          <w:rFonts w:hint="eastAsia" w:ascii="仿宋_GB2312" w:hAnsi="宋体" w:eastAsia="仿宋_GB2312" w:cs="宋体"/>
          <w:kern w:val="0"/>
          <w:sz w:val="32"/>
          <w:szCs w:val="32"/>
          <w:lang w:val="en-US" w:eastAsia="zh-CN"/>
        </w:rPr>
        <w:t>事业发展</w:t>
      </w:r>
      <w:r>
        <w:rPr>
          <w:rFonts w:hint="eastAsia" w:ascii="仿宋_GB2312" w:hAnsi="宋体" w:eastAsia="仿宋_GB2312" w:cs="宋体"/>
          <w:kern w:val="0"/>
          <w:sz w:val="32"/>
          <w:szCs w:val="32"/>
        </w:rPr>
        <w:t>活动</w:t>
      </w:r>
      <w:r>
        <w:rPr>
          <w:rFonts w:hint="eastAsia" w:ascii="仿宋_GB2312" w:hAnsi="宋体" w:eastAsia="仿宋_GB2312" w:cs="宋体"/>
          <w:kern w:val="0"/>
          <w:sz w:val="32"/>
          <w:szCs w:val="32"/>
          <w:lang w:val="en-US" w:eastAsia="zh-CN"/>
        </w:rPr>
        <w:t>中</w:t>
      </w:r>
      <w:r>
        <w:rPr>
          <w:rFonts w:hint="eastAsia" w:ascii="仿宋_GB2312" w:hAnsi="宋体" w:eastAsia="仿宋_GB2312" w:cs="宋体"/>
          <w:kern w:val="0"/>
          <w:sz w:val="32"/>
          <w:szCs w:val="32"/>
        </w:rPr>
        <w:t>；坚持财政预算管理制度，做好预算支出及执行情况调度，财政供养人员控制在预算编制以内，“三公”经费预算支出在控制数内；严格财经纪律，严格财务制度，坚持先有预算、后有支出</w:t>
      </w:r>
      <w:r>
        <w:rPr>
          <w:rFonts w:hint="eastAsia" w:ascii="仿宋_GB2312" w:hAnsi="宋体" w:eastAsia="仿宋_GB2312" w:cs="宋体"/>
          <w:kern w:val="0"/>
          <w:sz w:val="32"/>
          <w:szCs w:val="32"/>
          <w:lang w:eastAsia="zh-CN"/>
        </w:rPr>
        <w:t>，</w:t>
      </w:r>
      <w:r>
        <w:rPr>
          <w:rFonts w:hint="eastAsia" w:ascii="仿宋_GB2312" w:hAnsi="仿宋_GB2312" w:eastAsia="仿宋_GB2312" w:cs="仿宋_GB2312"/>
          <w:spacing w:val="0"/>
          <w:sz w:val="32"/>
          <w:szCs w:val="32"/>
          <w:lang w:val="en-US" w:eastAsia="zh-CN"/>
        </w:rPr>
        <w:t>争取项目绩效评价覆盖率达到100%。</w:t>
      </w:r>
    </w:p>
    <w:p>
      <w:pPr>
        <w:keepNext w:val="0"/>
        <w:keepLines w:val="0"/>
        <w:pageBreakBefore w:val="0"/>
        <w:kinsoku/>
        <w:wordWrap/>
        <w:overflowPunct/>
        <w:topLinePunct w:val="0"/>
        <w:autoSpaceDN/>
        <w:bidi w:val="0"/>
        <w:adjustRightInd/>
        <w:spacing w:line="560" w:lineRule="exact"/>
        <w:ind w:firstLine="640" w:firstLineChars="200"/>
        <w:textAlignment w:val="auto"/>
        <w:rPr>
          <w:rFonts w:hint="eastAsia" w:ascii="黑体" w:hAnsi="宋体" w:eastAsia="黑体" w:cs="宋体"/>
          <w:kern w:val="0"/>
          <w:sz w:val="32"/>
          <w:szCs w:val="32"/>
        </w:rPr>
      </w:pPr>
      <w:r>
        <w:rPr>
          <w:rFonts w:hint="eastAsia" w:ascii="黑体" w:hAnsi="宋体" w:eastAsia="黑体" w:cs="宋体"/>
          <w:kern w:val="0"/>
          <w:sz w:val="32"/>
          <w:szCs w:val="32"/>
        </w:rPr>
        <w:t>四、评价结论及建议</w:t>
      </w:r>
    </w:p>
    <w:p>
      <w:pPr>
        <w:keepNext w:val="0"/>
        <w:keepLines w:val="0"/>
        <w:pageBreakBefore w:val="0"/>
        <w:kinsoku/>
        <w:wordWrap/>
        <w:overflowPunct/>
        <w:topLinePunct w:val="0"/>
        <w:autoSpaceDN/>
        <w:bidi w:val="0"/>
        <w:adjustRightInd/>
        <w:spacing w:line="560" w:lineRule="exact"/>
        <w:ind w:firstLine="642" w:firstLineChars="200"/>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（一）评价结论</w:t>
      </w:r>
    </w:p>
    <w:p>
      <w:pPr>
        <w:keepNext w:val="0"/>
        <w:keepLines w:val="0"/>
        <w:pageBreakBefore w:val="0"/>
        <w:kinsoku/>
        <w:wordWrap/>
        <w:overflowPunct/>
        <w:topLinePunct w:val="0"/>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宋体" w:eastAsia="仿宋_GB2312" w:cs="宋体"/>
          <w:kern w:val="0"/>
          <w:sz w:val="32"/>
          <w:szCs w:val="32"/>
        </w:rPr>
        <w:t>按照国家政策法规规定，结合本部门的实际情况，建立健全了财务管理制度和约束机制，依法、有效地使用财政资金，提高财政资金使用效率，合理分配人、财、物，完成了部门职能目标，实现了较高的工作效率和支出绩效。</w:t>
      </w:r>
      <w:r>
        <w:rPr>
          <w:rFonts w:hint="eastAsia" w:ascii="仿宋_GB2312" w:hAnsi="仿宋" w:eastAsia="仿宋_GB2312"/>
          <w:sz w:val="32"/>
          <w:szCs w:val="32"/>
        </w:rPr>
        <w:t>我会在上级主管部门和州财政局的指导监督下，</w:t>
      </w:r>
      <w:r>
        <w:rPr>
          <w:rFonts w:hint="eastAsia" w:ascii="仿宋_GB2312" w:hAnsi="仿宋" w:eastAsia="仿宋_GB2312"/>
          <w:b/>
          <w:sz w:val="32"/>
          <w:szCs w:val="32"/>
        </w:rPr>
        <w:t>一是</w:t>
      </w:r>
      <w:r>
        <w:rPr>
          <w:rFonts w:hint="eastAsia" w:ascii="仿宋_GB2312" w:hAnsi="仿宋" w:eastAsia="仿宋_GB2312"/>
          <w:sz w:val="32"/>
          <w:szCs w:val="32"/>
        </w:rPr>
        <w:t>提高了专款专用能力，加强了项目资金使用范围的控制；</w:t>
      </w:r>
      <w:r>
        <w:rPr>
          <w:rFonts w:hint="eastAsia" w:ascii="仿宋_GB2312" w:hAnsi="仿宋" w:eastAsia="仿宋_GB2312"/>
          <w:b/>
          <w:sz w:val="32"/>
          <w:szCs w:val="32"/>
        </w:rPr>
        <w:t>二是</w:t>
      </w:r>
      <w:r>
        <w:rPr>
          <w:rFonts w:hint="eastAsia" w:ascii="仿宋_GB2312" w:hAnsi="仿宋" w:eastAsia="仿宋_GB2312"/>
          <w:sz w:val="32"/>
          <w:szCs w:val="32"/>
        </w:rPr>
        <w:t>财务管理规范</w:t>
      </w:r>
      <w:r>
        <w:rPr>
          <w:rFonts w:hint="eastAsia" w:ascii="仿宋_GB2312" w:hAnsi="仿宋" w:eastAsia="仿宋_GB2312"/>
          <w:sz w:val="32"/>
          <w:szCs w:val="32"/>
          <w:lang w:val="en-US" w:eastAsia="zh-CN"/>
        </w:rPr>
        <w:t>有效</w:t>
      </w:r>
      <w:r>
        <w:rPr>
          <w:rFonts w:hint="eastAsia" w:ascii="仿宋_GB2312" w:hAnsi="仿宋" w:eastAsia="仿宋_GB2312"/>
          <w:sz w:val="32"/>
          <w:szCs w:val="32"/>
        </w:rPr>
        <w:t>；</w:t>
      </w:r>
      <w:r>
        <w:rPr>
          <w:rFonts w:hint="eastAsia" w:ascii="仿宋_GB2312" w:hAnsi="仿宋" w:eastAsia="仿宋_GB2312"/>
          <w:b/>
          <w:sz w:val="32"/>
          <w:szCs w:val="32"/>
        </w:rPr>
        <w:t>三是</w:t>
      </w:r>
      <w:r>
        <w:rPr>
          <w:rFonts w:hint="eastAsia" w:ascii="仿宋_GB2312" w:hAnsi="仿宋" w:eastAsia="仿宋_GB2312"/>
          <w:sz w:val="32"/>
          <w:szCs w:val="32"/>
        </w:rPr>
        <w:t>工作效率</w:t>
      </w:r>
      <w:r>
        <w:rPr>
          <w:rFonts w:hint="eastAsia" w:ascii="仿宋_GB2312" w:hAnsi="仿宋" w:eastAsia="仿宋_GB2312"/>
          <w:sz w:val="32"/>
          <w:szCs w:val="32"/>
          <w:lang w:val="en-US" w:eastAsia="zh-CN"/>
        </w:rPr>
        <w:t>高</w:t>
      </w:r>
      <w:r>
        <w:rPr>
          <w:rFonts w:hint="eastAsia" w:ascii="仿宋_GB2312" w:hAnsi="仿宋" w:eastAsia="仿宋_GB2312"/>
          <w:sz w:val="32"/>
          <w:szCs w:val="32"/>
        </w:rPr>
        <w:t>；工作流程规范，财务账目清楚，</w:t>
      </w:r>
      <w:r>
        <w:rPr>
          <w:rFonts w:hint="eastAsia" w:ascii="仿宋_GB2312" w:hAnsi="仿宋" w:eastAsia="仿宋_GB2312"/>
          <w:sz w:val="32"/>
          <w:szCs w:val="32"/>
          <w:lang w:val="en-US" w:eastAsia="zh-CN"/>
        </w:rPr>
        <w:t>确保</w:t>
      </w:r>
      <w:r>
        <w:rPr>
          <w:rFonts w:hint="eastAsia" w:ascii="仿宋_GB2312" w:hAnsi="仿宋" w:eastAsia="仿宋_GB2312"/>
          <w:sz w:val="32"/>
          <w:szCs w:val="32"/>
        </w:rPr>
        <w:t>数据的准确性；</w:t>
      </w:r>
      <w:r>
        <w:rPr>
          <w:rFonts w:hint="eastAsia" w:ascii="仿宋_GB2312" w:hAnsi="仿宋" w:eastAsia="仿宋_GB2312"/>
          <w:b/>
          <w:sz w:val="32"/>
          <w:szCs w:val="32"/>
        </w:rPr>
        <w:t>四是</w:t>
      </w:r>
      <w:r>
        <w:rPr>
          <w:rFonts w:hint="eastAsia" w:ascii="仿宋_GB2312" w:hAnsi="仿宋" w:eastAsia="仿宋_GB2312"/>
          <w:sz w:val="32"/>
          <w:szCs w:val="32"/>
        </w:rPr>
        <w:t>规范了会计核算，统一了核算口径，会计信息</w:t>
      </w:r>
      <w:r>
        <w:rPr>
          <w:rFonts w:hint="eastAsia" w:ascii="仿宋_GB2312" w:hAnsi="仿宋" w:eastAsia="仿宋_GB2312"/>
          <w:sz w:val="32"/>
          <w:szCs w:val="32"/>
          <w:lang w:val="en-US" w:eastAsia="zh-CN"/>
        </w:rPr>
        <w:t>确保</w:t>
      </w:r>
      <w:r>
        <w:rPr>
          <w:rFonts w:hint="eastAsia" w:ascii="仿宋_GB2312" w:hAnsi="仿宋" w:eastAsia="仿宋_GB2312"/>
          <w:sz w:val="32"/>
          <w:szCs w:val="32"/>
        </w:rPr>
        <w:t>质量，对会计档案规范</w:t>
      </w:r>
      <w:r>
        <w:rPr>
          <w:rFonts w:hint="eastAsia" w:ascii="仿宋_GB2312" w:hAnsi="仿宋" w:eastAsia="仿宋_GB2312"/>
          <w:sz w:val="32"/>
          <w:szCs w:val="32"/>
          <w:lang w:val="en-US" w:eastAsia="zh-CN"/>
        </w:rPr>
        <w:t>管理</w:t>
      </w:r>
      <w:r>
        <w:rPr>
          <w:rFonts w:hint="eastAsia" w:ascii="仿宋_GB2312" w:hAnsi="仿宋" w:eastAsia="仿宋_GB2312"/>
          <w:sz w:val="32"/>
          <w:szCs w:val="32"/>
        </w:rPr>
        <w:t>；</w:t>
      </w:r>
      <w:r>
        <w:rPr>
          <w:rFonts w:hint="eastAsia" w:ascii="仿宋_GB2312" w:hAnsi="仿宋" w:eastAsia="仿宋_GB2312"/>
          <w:b/>
          <w:sz w:val="32"/>
          <w:szCs w:val="32"/>
        </w:rPr>
        <w:t>五是</w:t>
      </w:r>
      <w:r>
        <w:rPr>
          <w:rFonts w:hint="eastAsia" w:ascii="仿宋_GB2312" w:hAnsi="仿宋" w:eastAsia="仿宋_GB2312"/>
          <w:sz w:val="32"/>
          <w:szCs w:val="32"/>
        </w:rPr>
        <w:t>严格控制非必要支出，集中财力办大事。</w:t>
      </w:r>
    </w:p>
    <w:p>
      <w:pPr>
        <w:keepNext w:val="0"/>
        <w:keepLines w:val="0"/>
        <w:pageBreakBefore w:val="0"/>
        <w:kinsoku/>
        <w:wordWrap/>
        <w:overflowPunct/>
        <w:topLinePunct w:val="0"/>
        <w:autoSpaceDN/>
        <w:bidi w:val="0"/>
        <w:adjustRightInd/>
        <w:spacing w:line="560" w:lineRule="exact"/>
        <w:ind w:firstLine="642" w:firstLineChars="200"/>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（二）存在问题</w:t>
      </w:r>
    </w:p>
    <w:p>
      <w:pPr>
        <w:keepNext w:val="0"/>
        <w:keepLines w:val="0"/>
        <w:pageBreakBefore w:val="0"/>
        <w:kinsoku/>
        <w:wordWrap/>
        <w:overflowPunct/>
        <w:topLinePunct w:val="0"/>
        <w:autoSpaceDN/>
        <w:bidi w:val="0"/>
        <w:adjustRightIn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依据救助工作时限要求的特殊性，</w:t>
      </w:r>
      <w:r>
        <w:rPr>
          <w:rFonts w:hint="eastAsia" w:ascii="仿宋_GB2312" w:hAnsi="宋体" w:eastAsia="仿宋_GB2312" w:cs="宋体"/>
          <w:kern w:val="0"/>
          <w:sz w:val="32"/>
          <w:szCs w:val="32"/>
        </w:rPr>
        <w:t>部分</w:t>
      </w:r>
      <w:r>
        <w:rPr>
          <w:rFonts w:hint="eastAsia" w:ascii="仿宋_GB2312" w:hAnsi="宋体" w:eastAsia="仿宋_GB2312" w:cs="宋体"/>
          <w:kern w:val="0"/>
          <w:sz w:val="32"/>
          <w:szCs w:val="32"/>
          <w:lang w:val="en-US" w:eastAsia="zh-CN"/>
        </w:rPr>
        <w:t>专项救助</w:t>
      </w:r>
      <w:r>
        <w:rPr>
          <w:rFonts w:hint="eastAsia" w:ascii="仿宋_GB2312" w:hAnsi="宋体" w:eastAsia="仿宋_GB2312" w:cs="宋体"/>
          <w:kern w:val="0"/>
          <w:sz w:val="32"/>
          <w:szCs w:val="32"/>
        </w:rPr>
        <w:t>资金</w:t>
      </w:r>
      <w:r>
        <w:rPr>
          <w:rFonts w:hint="eastAsia" w:ascii="仿宋_GB2312" w:hAnsi="宋体" w:eastAsia="仿宋_GB2312" w:cs="宋体"/>
          <w:kern w:val="0"/>
          <w:sz w:val="32"/>
          <w:szCs w:val="32"/>
          <w:lang w:val="en-US" w:eastAsia="zh-CN"/>
        </w:rPr>
        <w:t>只能在元旦春节前使用，故</w:t>
      </w:r>
      <w:r>
        <w:rPr>
          <w:rFonts w:hint="eastAsia" w:ascii="仿宋_GB2312" w:hAnsi="宋体" w:eastAsia="仿宋_GB2312" w:cs="宋体"/>
          <w:kern w:val="0"/>
          <w:sz w:val="32"/>
          <w:szCs w:val="32"/>
        </w:rPr>
        <w:t>上半年预算执行进度较慢。</w:t>
      </w:r>
    </w:p>
    <w:p>
      <w:pPr>
        <w:keepNext w:val="0"/>
        <w:keepLines w:val="0"/>
        <w:pageBreakBefore w:val="0"/>
        <w:kinsoku/>
        <w:wordWrap/>
        <w:overflowPunct/>
        <w:topLinePunct w:val="0"/>
        <w:autoSpaceDN/>
        <w:bidi w:val="0"/>
        <w:adjustRightInd/>
        <w:spacing w:line="560" w:lineRule="exact"/>
        <w:ind w:firstLine="642" w:firstLineChars="200"/>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（三）改进建议</w:t>
      </w:r>
    </w:p>
    <w:p>
      <w:pPr>
        <w:keepNext w:val="0"/>
        <w:keepLines w:val="0"/>
        <w:pageBreakBefore w:val="0"/>
        <w:kinsoku/>
        <w:wordWrap/>
        <w:overflowPunct/>
        <w:topLinePunct w:val="0"/>
        <w:autoSpaceDN/>
        <w:bidi w:val="0"/>
        <w:adjustRightInd/>
        <w:spacing w:line="560" w:lineRule="exact"/>
        <w:ind w:firstLine="640" w:firstLineChars="200"/>
        <w:textAlignment w:val="auto"/>
        <w:rPr>
          <w:rFonts w:hint="eastAsia"/>
        </w:rPr>
      </w:pPr>
      <w:r>
        <w:rPr>
          <w:rFonts w:hint="eastAsia" w:ascii="仿宋_GB2312" w:hAnsi="宋体" w:eastAsia="仿宋_GB2312" w:cs="宋体"/>
          <w:kern w:val="0"/>
          <w:sz w:val="32"/>
          <w:szCs w:val="32"/>
        </w:rPr>
        <w:t>我们将进一步重视预算的编制工作，提高预算编制的</w:t>
      </w:r>
      <w:r>
        <w:rPr>
          <w:rFonts w:hint="eastAsia" w:ascii="仿宋_GB2312" w:hAnsi="宋体" w:eastAsia="仿宋_GB2312" w:cs="宋体"/>
          <w:kern w:val="0"/>
          <w:sz w:val="32"/>
          <w:szCs w:val="32"/>
          <w:lang w:val="en-US" w:eastAsia="zh-CN"/>
        </w:rPr>
        <w:t>科学性和</w:t>
      </w:r>
      <w:r>
        <w:rPr>
          <w:rFonts w:hint="eastAsia" w:ascii="仿宋_GB2312" w:hAnsi="宋体" w:eastAsia="仿宋_GB2312" w:cs="宋体"/>
          <w:kern w:val="0"/>
          <w:sz w:val="32"/>
          <w:szCs w:val="32"/>
        </w:rPr>
        <w:t>精确度，加快财政资金执行进度，提高财政资金使用效率。 </w:t>
      </w:r>
    </w:p>
    <w:p>
      <w:pPr>
        <w:spacing w:line="600" w:lineRule="exact"/>
        <w:jc w:val="center"/>
        <w:outlineLvl w:val="0"/>
        <w:rPr>
          <w:rFonts w:ascii="仿宋" w:eastAsia="仿宋"/>
        </w:rPr>
      </w:pPr>
      <w:bookmarkStart w:id="63" w:name="_Toc15396618"/>
      <w:r>
        <w:rPr>
          <w:rFonts w:hint="eastAsia" w:ascii="黑体" w:eastAsia="黑体"/>
          <w:sz w:val="44"/>
          <w:szCs w:val="44"/>
        </w:rPr>
        <w:t>第</w:t>
      </w:r>
      <w:r>
        <w:rPr>
          <w:rStyle w:val="16"/>
          <w:rFonts w:hint="eastAsia" w:ascii="黑体" w:eastAsia="黑体"/>
          <w:b w:val="0"/>
        </w:rPr>
        <w:t>五部分 附表</w:t>
      </w:r>
      <w:bookmarkEnd w:id="62"/>
      <w:bookmarkEnd w:id="63"/>
      <w:bookmarkStart w:id="64" w:name="_Toc15396619"/>
    </w:p>
    <w:p>
      <w:pPr>
        <w:pStyle w:val="3"/>
        <w:rPr>
          <w:rFonts w:ascii="仿宋" w:eastAsia="仿宋"/>
        </w:rPr>
      </w:pPr>
      <w:r>
        <w:rPr>
          <w:rFonts w:hint="eastAsia" w:ascii="仿宋" w:eastAsia="仿宋"/>
          <w:b w:val="0"/>
        </w:rPr>
        <w:t>一、收</w:t>
      </w:r>
      <w:r>
        <w:rPr>
          <w:rStyle w:val="17"/>
          <w:rFonts w:hint="eastAsia" w:ascii="仿宋" w:eastAsia="仿宋"/>
          <w:b w:val="0"/>
          <w:bCs w:val="0"/>
        </w:rPr>
        <w:t>入支出决算总表</w:t>
      </w:r>
      <w:bookmarkEnd w:id="64"/>
    </w:p>
    <w:p>
      <w:pPr>
        <w:pStyle w:val="3"/>
        <w:rPr>
          <w:rFonts w:ascii="仿宋" w:eastAsia="仿宋"/>
        </w:rPr>
      </w:pPr>
      <w:bookmarkStart w:id="65" w:name="_Toc15396620"/>
      <w:r>
        <w:rPr>
          <w:rFonts w:hint="eastAsia" w:ascii="仿宋" w:eastAsia="仿宋"/>
          <w:b w:val="0"/>
        </w:rPr>
        <w:t>二、收</w:t>
      </w:r>
      <w:r>
        <w:rPr>
          <w:rStyle w:val="17"/>
          <w:rFonts w:hint="eastAsia" w:ascii="仿宋" w:eastAsia="仿宋"/>
          <w:b w:val="0"/>
          <w:bCs w:val="0"/>
        </w:rPr>
        <w:t>入决算表</w:t>
      </w:r>
      <w:bookmarkEnd w:id="65"/>
    </w:p>
    <w:p>
      <w:pPr>
        <w:pStyle w:val="3"/>
        <w:rPr>
          <w:rFonts w:ascii="仿宋" w:eastAsia="仿宋"/>
        </w:rPr>
      </w:pPr>
      <w:bookmarkStart w:id="66" w:name="_Toc15396621"/>
      <w:r>
        <w:rPr>
          <w:rStyle w:val="17"/>
          <w:rFonts w:hint="eastAsia" w:ascii="仿宋" w:eastAsia="仿宋"/>
          <w:b w:val="0"/>
          <w:bCs w:val="0"/>
        </w:rPr>
        <w:t>三、</w:t>
      </w:r>
      <w:r>
        <w:rPr>
          <w:rFonts w:hint="eastAsia" w:ascii="仿宋" w:eastAsia="仿宋"/>
          <w:b w:val="0"/>
        </w:rPr>
        <w:t>支</w:t>
      </w:r>
      <w:r>
        <w:rPr>
          <w:rStyle w:val="17"/>
          <w:rFonts w:hint="eastAsia" w:ascii="仿宋" w:eastAsia="仿宋"/>
          <w:b w:val="0"/>
          <w:bCs w:val="0"/>
        </w:rPr>
        <w:t>出决算表</w:t>
      </w:r>
      <w:bookmarkEnd w:id="66"/>
    </w:p>
    <w:p>
      <w:pPr>
        <w:pStyle w:val="3"/>
        <w:rPr>
          <w:rFonts w:ascii="仿宋" w:eastAsia="仿宋"/>
          <w:b w:val="0"/>
        </w:rPr>
      </w:pPr>
      <w:bookmarkStart w:id="67" w:name="_Toc15396622"/>
      <w:r>
        <w:rPr>
          <w:rStyle w:val="17"/>
          <w:rFonts w:hint="eastAsia" w:ascii="仿宋" w:eastAsia="仿宋"/>
          <w:b w:val="0"/>
          <w:bCs w:val="0"/>
        </w:rPr>
        <w:t>四、</w:t>
      </w:r>
      <w:r>
        <w:rPr>
          <w:rFonts w:hint="eastAsia" w:ascii="仿宋" w:eastAsia="仿宋"/>
          <w:b w:val="0"/>
        </w:rPr>
        <w:t>财</w:t>
      </w:r>
      <w:r>
        <w:rPr>
          <w:rStyle w:val="17"/>
          <w:rFonts w:hint="eastAsia" w:ascii="仿宋" w:eastAsia="仿宋"/>
          <w:b w:val="0"/>
          <w:bCs w:val="0"/>
        </w:rPr>
        <w:t>政拨款收入支出决算总表</w:t>
      </w:r>
      <w:bookmarkEnd w:id="67"/>
    </w:p>
    <w:p>
      <w:pPr>
        <w:pStyle w:val="3"/>
        <w:rPr>
          <w:rStyle w:val="17"/>
          <w:rFonts w:ascii="仿宋" w:eastAsia="仿宋"/>
          <w:b w:val="0"/>
          <w:bCs w:val="0"/>
        </w:rPr>
      </w:pPr>
      <w:bookmarkStart w:id="68" w:name="_Toc15396623"/>
      <w:r>
        <w:rPr>
          <w:rStyle w:val="17"/>
          <w:rFonts w:hint="eastAsia" w:ascii="仿宋" w:eastAsia="仿宋"/>
          <w:b w:val="0"/>
          <w:bCs w:val="0"/>
        </w:rPr>
        <w:t>五、</w:t>
      </w:r>
      <w:r>
        <w:rPr>
          <w:rFonts w:hint="eastAsia" w:ascii="仿宋" w:eastAsia="仿宋"/>
          <w:b w:val="0"/>
        </w:rPr>
        <w:t>财</w:t>
      </w:r>
      <w:r>
        <w:rPr>
          <w:rStyle w:val="17"/>
          <w:rFonts w:hint="eastAsia" w:ascii="仿宋" w:eastAsia="仿宋"/>
          <w:b w:val="0"/>
          <w:bCs w:val="0"/>
        </w:rPr>
        <w:t>政拨款支出决算明细表</w:t>
      </w:r>
      <w:bookmarkEnd w:id="68"/>
      <w:bookmarkStart w:id="69" w:name="_Toc15396624"/>
    </w:p>
    <w:p>
      <w:pPr>
        <w:pStyle w:val="3"/>
        <w:rPr>
          <w:rFonts w:ascii="仿宋" w:eastAsia="仿宋"/>
        </w:rPr>
      </w:pPr>
      <w:r>
        <w:rPr>
          <w:rStyle w:val="17"/>
          <w:rFonts w:hint="eastAsia" w:ascii="仿宋" w:eastAsia="仿宋"/>
          <w:b w:val="0"/>
          <w:bCs w:val="0"/>
        </w:rPr>
        <w:t>六、</w:t>
      </w:r>
      <w:r>
        <w:rPr>
          <w:rFonts w:hint="eastAsia" w:ascii="仿宋" w:eastAsia="仿宋"/>
          <w:b w:val="0"/>
        </w:rPr>
        <w:t>一</w:t>
      </w:r>
      <w:r>
        <w:rPr>
          <w:rStyle w:val="17"/>
          <w:rFonts w:hint="eastAsia" w:ascii="仿宋" w:eastAsia="仿宋"/>
          <w:b w:val="0"/>
          <w:bCs w:val="0"/>
        </w:rPr>
        <w:t>般公共预算财政拨款支出决算表</w:t>
      </w:r>
      <w:bookmarkEnd w:id="69"/>
    </w:p>
    <w:p>
      <w:pPr>
        <w:pStyle w:val="3"/>
        <w:rPr>
          <w:rFonts w:ascii="仿宋" w:eastAsia="仿宋"/>
        </w:rPr>
      </w:pPr>
      <w:bookmarkStart w:id="70" w:name="_Toc15396625"/>
      <w:r>
        <w:rPr>
          <w:rStyle w:val="17"/>
          <w:rFonts w:hint="eastAsia" w:ascii="仿宋" w:eastAsia="仿宋"/>
          <w:b w:val="0"/>
          <w:bCs w:val="0"/>
        </w:rPr>
        <w:t>七、</w:t>
      </w:r>
      <w:r>
        <w:rPr>
          <w:rFonts w:hint="eastAsia" w:ascii="仿宋" w:eastAsia="仿宋"/>
          <w:b w:val="0"/>
        </w:rPr>
        <w:t>一</w:t>
      </w:r>
      <w:r>
        <w:rPr>
          <w:rStyle w:val="17"/>
          <w:rFonts w:hint="eastAsia" w:ascii="仿宋" w:eastAsia="仿宋"/>
          <w:b w:val="0"/>
          <w:bCs w:val="0"/>
        </w:rPr>
        <w:t>般公共预算财政拨款支出决算明细表</w:t>
      </w:r>
      <w:bookmarkEnd w:id="70"/>
    </w:p>
    <w:p>
      <w:pPr>
        <w:pStyle w:val="3"/>
        <w:rPr>
          <w:rFonts w:ascii="仿宋" w:eastAsia="仿宋"/>
        </w:rPr>
      </w:pPr>
      <w:bookmarkStart w:id="71" w:name="_Toc15396626"/>
      <w:r>
        <w:rPr>
          <w:rStyle w:val="17"/>
          <w:rFonts w:hint="eastAsia" w:ascii="仿宋" w:eastAsia="仿宋"/>
          <w:b w:val="0"/>
          <w:bCs w:val="0"/>
        </w:rPr>
        <w:t>八、</w:t>
      </w:r>
      <w:r>
        <w:rPr>
          <w:rFonts w:hint="eastAsia" w:ascii="仿宋" w:eastAsia="仿宋"/>
          <w:b w:val="0"/>
        </w:rPr>
        <w:t>一</w:t>
      </w:r>
      <w:r>
        <w:rPr>
          <w:rStyle w:val="17"/>
          <w:rFonts w:hint="eastAsia" w:ascii="仿宋" w:eastAsia="仿宋"/>
          <w:b w:val="0"/>
          <w:bCs w:val="0"/>
        </w:rPr>
        <w:t>般公共预算财政拨款基本支出决算表</w:t>
      </w:r>
      <w:bookmarkEnd w:id="71"/>
    </w:p>
    <w:p>
      <w:pPr>
        <w:pStyle w:val="3"/>
        <w:rPr>
          <w:rFonts w:ascii="仿宋" w:eastAsia="仿宋"/>
        </w:rPr>
      </w:pPr>
      <w:bookmarkStart w:id="72" w:name="_Toc15396627"/>
      <w:r>
        <w:rPr>
          <w:rStyle w:val="17"/>
          <w:rFonts w:hint="eastAsia" w:ascii="仿宋" w:eastAsia="仿宋"/>
          <w:b w:val="0"/>
          <w:bCs w:val="0"/>
        </w:rPr>
        <w:t>九、</w:t>
      </w:r>
      <w:r>
        <w:rPr>
          <w:rFonts w:hint="eastAsia" w:ascii="仿宋" w:eastAsia="仿宋"/>
          <w:b w:val="0"/>
        </w:rPr>
        <w:t>一</w:t>
      </w:r>
      <w:r>
        <w:rPr>
          <w:rStyle w:val="17"/>
          <w:rFonts w:hint="eastAsia" w:ascii="仿宋" w:eastAsia="仿宋"/>
          <w:b w:val="0"/>
          <w:bCs w:val="0"/>
        </w:rPr>
        <w:t>般公共预算财政拨款项目支出决算表</w:t>
      </w:r>
      <w:bookmarkEnd w:id="72"/>
    </w:p>
    <w:p>
      <w:pPr>
        <w:pStyle w:val="3"/>
        <w:rPr>
          <w:rFonts w:ascii="仿宋" w:eastAsia="仿宋"/>
        </w:rPr>
      </w:pPr>
      <w:bookmarkStart w:id="73" w:name="_Toc15396628"/>
      <w:r>
        <w:rPr>
          <w:rStyle w:val="17"/>
          <w:rFonts w:hint="eastAsia" w:ascii="仿宋" w:eastAsia="仿宋"/>
          <w:b w:val="0"/>
          <w:bCs w:val="0"/>
        </w:rPr>
        <w:t>十、</w:t>
      </w:r>
      <w:r>
        <w:rPr>
          <w:rFonts w:hint="eastAsia" w:ascii="仿宋" w:eastAsia="仿宋"/>
          <w:b w:val="0"/>
        </w:rPr>
        <w:t>一</w:t>
      </w:r>
      <w:r>
        <w:rPr>
          <w:rStyle w:val="17"/>
          <w:rFonts w:hint="eastAsia" w:ascii="仿宋" w:eastAsia="仿宋"/>
          <w:b w:val="0"/>
          <w:bCs w:val="0"/>
        </w:rPr>
        <w:t>般公共预算财政拨款“三公”经费支出决算表</w:t>
      </w:r>
      <w:bookmarkEnd w:id="73"/>
    </w:p>
    <w:p>
      <w:pPr>
        <w:pStyle w:val="3"/>
        <w:rPr>
          <w:rFonts w:ascii="仿宋" w:eastAsia="仿宋"/>
        </w:rPr>
      </w:pPr>
      <w:bookmarkStart w:id="74" w:name="_Toc15396629"/>
      <w:r>
        <w:rPr>
          <w:rStyle w:val="17"/>
          <w:rFonts w:hint="eastAsia" w:ascii="仿宋" w:eastAsia="仿宋"/>
          <w:b w:val="0"/>
          <w:bCs w:val="0"/>
        </w:rPr>
        <w:t>十一、</w:t>
      </w:r>
      <w:r>
        <w:rPr>
          <w:rFonts w:hint="eastAsia" w:ascii="仿宋" w:eastAsia="仿宋"/>
          <w:b w:val="0"/>
        </w:rPr>
        <w:t>政</w:t>
      </w:r>
      <w:r>
        <w:rPr>
          <w:rStyle w:val="17"/>
          <w:rFonts w:hint="eastAsia" w:ascii="仿宋" w:eastAsia="仿宋"/>
          <w:b w:val="0"/>
          <w:bCs w:val="0"/>
        </w:rPr>
        <w:t>府性基金预算财政拨款收入支出决算表</w:t>
      </w:r>
      <w:bookmarkEnd w:id="74"/>
    </w:p>
    <w:p>
      <w:pPr>
        <w:pStyle w:val="3"/>
        <w:rPr>
          <w:rFonts w:ascii="仿宋" w:eastAsia="仿宋"/>
        </w:rPr>
      </w:pPr>
      <w:bookmarkStart w:id="75" w:name="_Toc15396630"/>
      <w:r>
        <w:rPr>
          <w:rStyle w:val="17"/>
          <w:rFonts w:hint="eastAsia" w:ascii="仿宋" w:eastAsia="仿宋"/>
          <w:b w:val="0"/>
          <w:bCs w:val="0"/>
        </w:rPr>
        <w:t>十二、</w:t>
      </w:r>
      <w:r>
        <w:rPr>
          <w:rFonts w:hint="eastAsia" w:ascii="仿宋" w:eastAsia="仿宋"/>
          <w:b w:val="0"/>
        </w:rPr>
        <w:t>政</w:t>
      </w:r>
      <w:r>
        <w:rPr>
          <w:rStyle w:val="17"/>
          <w:rFonts w:hint="eastAsia" w:ascii="仿宋" w:eastAsia="仿宋"/>
          <w:b w:val="0"/>
          <w:bCs w:val="0"/>
        </w:rPr>
        <w:t>府性基金预算财政拨款“三公”经费支出决算表</w:t>
      </w:r>
      <w:bookmarkEnd w:id="75"/>
    </w:p>
    <w:p>
      <w:pPr>
        <w:pStyle w:val="3"/>
        <w:rPr>
          <w:rStyle w:val="17"/>
          <w:rFonts w:ascii="仿宋" w:eastAsia="仿宋"/>
          <w:b w:val="0"/>
          <w:bCs w:val="0"/>
        </w:rPr>
      </w:pPr>
      <w:bookmarkStart w:id="76" w:name="_Toc15396631"/>
      <w:r>
        <w:rPr>
          <w:rStyle w:val="17"/>
          <w:rFonts w:hint="eastAsia" w:ascii="仿宋" w:eastAsia="仿宋"/>
          <w:b w:val="0"/>
          <w:bCs w:val="0"/>
        </w:rPr>
        <w:t>十三、</w:t>
      </w:r>
      <w:r>
        <w:rPr>
          <w:rFonts w:hint="eastAsia" w:ascii="仿宋" w:eastAsia="仿宋"/>
          <w:b w:val="0"/>
        </w:rPr>
        <w:t>国</w:t>
      </w:r>
      <w:r>
        <w:rPr>
          <w:rStyle w:val="17"/>
          <w:rFonts w:hint="eastAsia" w:ascii="仿宋" w:eastAsia="仿宋"/>
          <w:b w:val="0"/>
          <w:bCs w:val="0"/>
        </w:rPr>
        <w:t>有资本经营预算财政拨款收入支出决算表</w:t>
      </w:r>
      <w:bookmarkEnd w:id="76"/>
    </w:p>
    <w:p>
      <w:pPr>
        <w:rPr>
          <w:rFonts w:eastAsia="仿宋"/>
        </w:rPr>
      </w:pPr>
      <w:r>
        <w:rPr>
          <w:rStyle w:val="17"/>
          <w:rFonts w:hint="eastAsia" w:asci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Book Antiqua">
    <w:altName w:val="Noto Sans Syriac Eastern"/>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华文仿宋">
    <w:altName w:val="方正仿宋_GBK"/>
    <w:panose1 w:val="02010600040101010101"/>
    <w:charset w:val="86"/>
    <w:family w:val="auto"/>
    <w:pitch w:val="default"/>
    <w:sig w:usb0="00000000" w:usb1="00000000" w:usb2="00000000" w:usb3="00000000" w:csb0="0004009F" w:csb1="DFD70000"/>
  </w:font>
  <w:font w:name="文泉驿正黑">
    <w:panose1 w:val="02000603000000000000"/>
    <w:charset w:val="86"/>
    <w:family w:val="auto"/>
    <w:pitch w:val="default"/>
    <w:sig w:usb0="900002BF" w:usb1="2BDF7DFB" w:usb2="00000036" w:usb3="00000000" w:csb0="603E000D" w:csb1="D2D70000"/>
  </w:font>
  <w:font w:name="等线 Light">
    <w:altName w:val="仿宋_GB2312"/>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等线">
    <w:altName w:val="仿宋_GB2312"/>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3426A"/>
    <w:multiLevelType w:val="singleLevel"/>
    <w:tmpl w:val="8683426A"/>
    <w:lvl w:ilvl="0" w:tentative="0">
      <w:start w:val="3"/>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FFFB3235"/>
    <w:multiLevelType w:val="singleLevel"/>
    <w:tmpl w:val="FFFB3235"/>
    <w:lvl w:ilvl="0" w:tentative="0">
      <w:start w:val="5"/>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50" w:hanging="720"/>
      </w:pPr>
      <w:rPr>
        <w:rFonts w:hint="default"/>
        <w:b w:val="0"/>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4">
    <w:nsid w:val="79017D31"/>
    <w:multiLevelType w:val="multilevel"/>
    <w:tmpl w:val="79017D31"/>
    <w:lvl w:ilvl="0" w:tentative="0">
      <w:start w:val="2"/>
      <w:numFmt w:val="japaneseCounting"/>
      <w:lvlText w:val="%1、"/>
      <w:lvlJc w:val="left"/>
      <w:pPr>
        <w:ind w:left="720" w:hanging="720"/>
      </w:pPr>
      <w:rPr>
        <w:rFonts w:hint="default" w:ascii="黑体" w:eastAsia="黑体"/>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GMyMTNmZDJkZDE2MmY0ODI2YTk1YWVkZjJlOGFlYjMifQ=="/>
  </w:docVars>
  <w:rsids>
    <w:rsidRoot w:val="005A6850"/>
    <w:rsid w:val="003369FF"/>
    <w:rsid w:val="005A6850"/>
    <w:rsid w:val="007E0B38"/>
    <w:rsid w:val="00B44167"/>
    <w:rsid w:val="00D12052"/>
    <w:rsid w:val="00D90040"/>
    <w:rsid w:val="00DD0E6F"/>
    <w:rsid w:val="01646200"/>
    <w:rsid w:val="070C4668"/>
    <w:rsid w:val="09D5159C"/>
    <w:rsid w:val="0B9225E3"/>
    <w:rsid w:val="15816947"/>
    <w:rsid w:val="16757415"/>
    <w:rsid w:val="175EC56C"/>
    <w:rsid w:val="1CCF3B6F"/>
    <w:rsid w:val="1E7228D8"/>
    <w:rsid w:val="1FD2744C"/>
    <w:rsid w:val="1FE78F7B"/>
    <w:rsid w:val="1FEEA386"/>
    <w:rsid w:val="22CA7FC6"/>
    <w:rsid w:val="23B5012E"/>
    <w:rsid w:val="23FA1B72"/>
    <w:rsid w:val="24486D5C"/>
    <w:rsid w:val="2593449F"/>
    <w:rsid w:val="2670658E"/>
    <w:rsid w:val="270E64D3"/>
    <w:rsid w:val="27CB2E4E"/>
    <w:rsid w:val="28E37000"/>
    <w:rsid w:val="296854A2"/>
    <w:rsid w:val="2CD84297"/>
    <w:rsid w:val="2F4B5F53"/>
    <w:rsid w:val="2FD5E268"/>
    <w:rsid w:val="2FFF1DC6"/>
    <w:rsid w:val="3103797D"/>
    <w:rsid w:val="321052FF"/>
    <w:rsid w:val="32D17C89"/>
    <w:rsid w:val="337B4EF0"/>
    <w:rsid w:val="34DB7842"/>
    <w:rsid w:val="35506F47"/>
    <w:rsid w:val="37F443DE"/>
    <w:rsid w:val="384775E9"/>
    <w:rsid w:val="384A2F64"/>
    <w:rsid w:val="38E22059"/>
    <w:rsid w:val="39BD76B5"/>
    <w:rsid w:val="3ABF1502"/>
    <w:rsid w:val="3BF93B77"/>
    <w:rsid w:val="3BFF2CF7"/>
    <w:rsid w:val="3CCFF989"/>
    <w:rsid w:val="3D9E9787"/>
    <w:rsid w:val="3EE5AE55"/>
    <w:rsid w:val="3FFE91FF"/>
    <w:rsid w:val="40C32B0B"/>
    <w:rsid w:val="41265D6F"/>
    <w:rsid w:val="418E3CD4"/>
    <w:rsid w:val="429D3ABA"/>
    <w:rsid w:val="45D324D9"/>
    <w:rsid w:val="47F7F9D2"/>
    <w:rsid w:val="47FE3457"/>
    <w:rsid w:val="48CC4A53"/>
    <w:rsid w:val="49062273"/>
    <w:rsid w:val="494D63AA"/>
    <w:rsid w:val="49B64ACF"/>
    <w:rsid w:val="4AD64F49"/>
    <w:rsid w:val="4B3B68BB"/>
    <w:rsid w:val="4BD3F22C"/>
    <w:rsid w:val="4CEFEF71"/>
    <w:rsid w:val="5283444E"/>
    <w:rsid w:val="540E4A37"/>
    <w:rsid w:val="552D3719"/>
    <w:rsid w:val="57B11E20"/>
    <w:rsid w:val="57F3FF9D"/>
    <w:rsid w:val="57F76195"/>
    <w:rsid w:val="57FFA986"/>
    <w:rsid w:val="59AA7B9B"/>
    <w:rsid w:val="5A5879DD"/>
    <w:rsid w:val="5B55EEB1"/>
    <w:rsid w:val="5BDF9E68"/>
    <w:rsid w:val="5C2018E1"/>
    <w:rsid w:val="5C3D9E9D"/>
    <w:rsid w:val="5CC433D8"/>
    <w:rsid w:val="5CD65CCD"/>
    <w:rsid w:val="5D303630"/>
    <w:rsid w:val="5EAB57CF"/>
    <w:rsid w:val="5F3E65D7"/>
    <w:rsid w:val="5F5B5315"/>
    <w:rsid w:val="5F77C0CB"/>
    <w:rsid w:val="5F9E442D"/>
    <w:rsid w:val="5FBB371D"/>
    <w:rsid w:val="5FDFE074"/>
    <w:rsid w:val="5FF05729"/>
    <w:rsid w:val="5FF1A43E"/>
    <w:rsid w:val="613B1436"/>
    <w:rsid w:val="61FF0E6B"/>
    <w:rsid w:val="62D66B7D"/>
    <w:rsid w:val="62EC491B"/>
    <w:rsid w:val="63893440"/>
    <w:rsid w:val="63BE76F0"/>
    <w:rsid w:val="63D733CA"/>
    <w:rsid w:val="654F73EE"/>
    <w:rsid w:val="666C01DA"/>
    <w:rsid w:val="66E82754"/>
    <w:rsid w:val="672030DD"/>
    <w:rsid w:val="67F47BFC"/>
    <w:rsid w:val="684702DD"/>
    <w:rsid w:val="68691EF3"/>
    <w:rsid w:val="69514B28"/>
    <w:rsid w:val="69B5570F"/>
    <w:rsid w:val="6B4F5D94"/>
    <w:rsid w:val="6B5670CE"/>
    <w:rsid w:val="6B99345E"/>
    <w:rsid w:val="6C226D7B"/>
    <w:rsid w:val="6D32502C"/>
    <w:rsid w:val="6DEF99B0"/>
    <w:rsid w:val="6E6B0E12"/>
    <w:rsid w:val="6EFFEAE0"/>
    <w:rsid w:val="6F9D40B9"/>
    <w:rsid w:val="6FD9A076"/>
    <w:rsid w:val="6FEF2626"/>
    <w:rsid w:val="6FFFD010"/>
    <w:rsid w:val="725F0720"/>
    <w:rsid w:val="736B4801"/>
    <w:rsid w:val="74361E13"/>
    <w:rsid w:val="74D47A9C"/>
    <w:rsid w:val="752C70F1"/>
    <w:rsid w:val="753A1798"/>
    <w:rsid w:val="75A3DE8B"/>
    <w:rsid w:val="75B58E57"/>
    <w:rsid w:val="75E3EC02"/>
    <w:rsid w:val="75F7DC30"/>
    <w:rsid w:val="771E341A"/>
    <w:rsid w:val="7A423216"/>
    <w:rsid w:val="7A63515A"/>
    <w:rsid w:val="7AE904D5"/>
    <w:rsid w:val="7C154867"/>
    <w:rsid w:val="7C9D164F"/>
    <w:rsid w:val="7CA772CD"/>
    <w:rsid w:val="7CB5A995"/>
    <w:rsid w:val="7D7F05AE"/>
    <w:rsid w:val="7DBEE205"/>
    <w:rsid w:val="7DFF4755"/>
    <w:rsid w:val="7E077F10"/>
    <w:rsid w:val="7E7FC9A0"/>
    <w:rsid w:val="7E9F3D86"/>
    <w:rsid w:val="7EC02C7F"/>
    <w:rsid w:val="7EF66FA7"/>
    <w:rsid w:val="7EFD327B"/>
    <w:rsid w:val="7F7F0EE6"/>
    <w:rsid w:val="7F7F8E79"/>
    <w:rsid w:val="7FDE3FF2"/>
    <w:rsid w:val="7FDF65F8"/>
    <w:rsid w:val="7FE1D39E"/>
    <w:rsid w:val="7FED5FA7"/>
    <w:rsid w:val="7FFD0F26"/>
    <w:rsid w:val="7FFEAB4F"/>
    <w:rsid w:val="9DBBE773"/>
    <w:rsid w:val="9EF47330"/>
    <w:rsid w:val="9FF487CA"/>
    <w:rsid w:val="A7FF280E"/>
    <w:rsid w:val="AFB1CFB7"/>
    <w:rsid w:val="B6FF4579"/>
    <w:rsid w:val="B70FA120"/>
    <w:rsid w:val="B95AFCD6"/>
    <w:rsid w:val="BBFF1770"/>
    <w:rsid w:val="BBFF81D9"/>
    <w:rsid w:val="BC7E6D54"/>
    <w:rsid w:val="BC8DC72D"/>
    <w:rsid w:val="BEFB47BF"/>
    <w:rsid w:val="BF8D284C"/>
    <w:rsid w:val="BFB6CA18"/>
    <w:rsid w:val="BFBA1125"/>
    <w:rsid w:val="BFEDA6D2"/>
    <w:rsid w:val="C9AEA984"/>
    <w:rsid w:val="CDBFF8B9"/>
    <w:rsid w:val="CDEF0623"/>
    <w:rsid w:val="CEFE7F1C"/>
    <w:rsid w:val="CFBFCAD6"/>
    <w:rsid w:val="CFCF41D8"/>
    <w:rsid w:val="CFFE8787"/>
    <w:rsid w:val="D1BCF60F"/>
    <w:rsid w:val="D5FF3DC6"/>
    <w:rsid w:val="DA3B9858"/>
    <w:rsid w:val="DA8FABCF"/>
    <w:rsid w:val="DDDF57C8"/>
    <w:rsid w:val="DEBE56D1"/>
    <w:rsid w:val="DF2BD448"/>
    <w:rsid w:val="DF77D7B6"/>
    <w:rsid w:val="DFF75AB5"/>
    <w:rsid w:val="DFF75DA7"/>
    <w:rsid w:val="DFFE95ED"/>
    <w:rsid w:val="DFFF53FB"/>
    <w:rsid w:val="E1FF6B66"/>
    <w:rsid w:val="E3FE8145"/>
    <w:rsid w:val="E4CBAB11"/>
    <w:rsid w:val="E5FD0761"/>
    <w:rsid w:val="E6FF4669"/>
    <w:rsid w:val="E721C23D"/>
    <w:rsid w:val="E7E35E05"/>
    <w:rsid w:val="E9B7DD75"/>
    <w:rsid w:val="EB9502BC"/>
    <w:rsid w:val="EDF7F69F"/>
    <w:rsid w:val="EEDBC68F"/>
    <w:rsid w:val="EF770B27"/>
    <w:rsid w:val="EFFF0F79"/>
    <w:rsid w:val="EFFF8018"/>
    <w:rsid w:val="F2EF180A"/>
    <w:rsid w:val="F5D78B37"/>
    <w:rsid w:val="F5DF0CD3"/>
    <w:rsid w:val="F5E9D560"/>
    <w:rsid w:val="F65F72AE"/>
    <w:rsid w:val="F6EF2FAB"/>
    <w:rsid w:val="F6F723F0"/>
    <w:rsid w:val="F6FD62AF"/>
    <w:rsid w:val="F79F03E7"/>
    <w:rsid w:val="F7F3AF8B"/>
    <w:rsid w:val="F9FCC155"/>
    <w:rsid w:val="FABE3BE7"/>
    <w:rsid w:val="FB23CBDD"/>
    <w:rsid w:val="FB772F43"/>
    <w:rsid w:val="FBE3DAC8"/>
    <w:rsid w:val="FBFF23A2"/>
    <w:rsid w:val="FC7FD728"/>
    <w:rsid w:val="FDDE2B85"/>
    <w:rsid w:val="FDEF0401"/>
    <w:rsid w:val="FDEFFA02"/>
    <w:rsid w:val="FE9F6DE3"/>
    <w:rsid w:val="FEA3CFC5"/>
    <w:rsid w:val="FEDE8E7C"/>
    <w:rsid w:val="FEDFF93D"/>
    <w:rsid w:val="FF6A1558"/>
    <w:rsid w:val="FF7C0BF0"/>
    <w:rsid w:val="FF7FBEEB"/>
    <w:rsid w:val="FF7FDDAA"/>
    <w:rsid w:val="FFBE39C2"/>
    <w:rsid w:val="FFD4DB81"/>
    <w:rsid w:val="FFDBA493"/>
    <w:rsid w:val="FFF1E55F"/>
    <w:rsid w:val="FFFB598D"/>
    <w:rsid w:val="FFFE46EE"/>
    <w:rsid w:val="FFFF5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5" w:lineRule="auto"/>
      <w:outlineLvl w:val="1"/>
    </w:pPr>
    <w:rPr>
      <w:rFonts w:ascii="Cambria" w:hAnsi="Cambria"/>
      <w:b/>
      <w:bCs/>
      <w:sz w:val="32"/>
      <w:szCs w:val="32"/>
    </w:rPr>
  </w:style>
  <w:style w:type="paragraph" w:styleId="4">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字符"/>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字符"/>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4">
    <w:name w:val="TOC 标题2"/>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25">
    <w:name w:val="标题 1 Char"/>
    <w:basedOn w:val="13"/>
    <w:link w:val="2"/>
    <w:qFormat/>
    <w:uiPriority w:val="9"/>
    <w:rPr>
      <w:rFonts w:ascii="Times New Roman" w:hAnsi="Times New Roman"/>
      <w:b/>
      <w:bCs/>
      <w:kern w:val="44"/>
      <w:sz w:val="44"/>
      <w:szCs w:val="44"/>
    </w:rPr>
  </w:style>
  <w:style w:type="character" w:customStyle="1" w:styleId="26">
    <w:name w:val="标题 2 Char"/>
    <w:basedOn w:val="13"/>
    <w:link w:val="3"/>
    <w:qFormat/>
    <w:uiPriority w:val="9"/>
    <w:rPr>
      <w:rFonts w:asciiTheme="majorHAnsi" w:hAnsiTheme="majorHAnsi" w:eastAsiaTheme="majorEastAsia" w:cstheme="majorBidi"/>
      <w:b/>
      <w:bCs/>
      <w:kern w:val="2"/>
      <w:sz w:val="32"/>
      <w:szCs w:val="32"/>
    </w:rPr>
  </w:style>
  <w:style w:type="character" w:customStyle="1" w:styleId="27">
    <w:name w:val="font21"/>
    <w:basedOn w:val="13"/>
    <w:qFormat/>
    <w:uiPriority w:val="0"/>
    <w:rPr>
      <w:rFonts w:hint="default" w:ascii="Times New Roman" w:hAnsi="Times New Roman" w:cs="Times New Roman"/>
      <w:color w:val="000000"/>
      <w:sz w:val="24"/>
      <w:szCs w:val="24"/>
      <w:u w:val="none"/>
    </w:rPr>
  </w:style>
  <w:style w:type="character" w:customStyle="1" w:styleId="28">
    <w:name w:val="font31"/>
    <w:basedOn w:val="13"/>
    <w:qFormat/>
    <w:uiPriority w:val="0"/>
    <w:rPr>
      <w:rFonts w:hint="eastAsia" w:ascii="宋体" w:hAnsi="宋体" w:eastAsia="宋体" w:cs="宋体"/>
      <w:color w:val="000000"/>
      <w:sz w:val="24"/>
      <w:szCs w:val="24"/>
      <w:u w:val="none"/>
    </w:rPr>
  </w:style>
  <w:style w:type="character" w:customStyle="1" w:styleId="29">
    <w:name w:val="font41"/>
    <w:basedOn w:val="13"/>
    <w:qFormat/>
    <w:uiPriority w:val="0"/>
    <w:rPr>
      <w:rFonts w:hint="default" w:ascii="Times New Roman" w:hAnsi="Times New Roman" w:cs="Times New Roman"/>
      <w:color w:val="000000"/>
      <w:sz w:val="24"/>
      <w:szCs w:val="24"/>
      <w:u w:val="none"/>
    </w:rPr>
  </w:style>
  <w:style w:type="character" w:customStyle="1" w:styleId="30">
    <w:name w:val="font01"/>
    <w:basedOn w:val="13"/>
    <w:qFormat/>
    <w:uiPriority w:val="0"/>
    <w:rPr>
      <w:rFonts w:hint="default" w:ascii="Times New Roman" w:hAnsi="Times New Roman" w:cs="Times New Roman"/>
      <w:color w:val="000000"/>
      <w:sz w:val="24"/>
      <w:szCs w:val="24"/>
      <w:u w:val="none"/>
    </w:rPr>
  </w:style>
  <w:style w:type="character" w:customStyle="1" w:styleId="31">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收、支总计</c:v>
                </c:pt>
              </c:strCache>
            </c:strRef>
          </c:tx>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458.94</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463.03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458.94</c:v>
                </c:pt>
                <c:pt idx="1">
                  <c:v>463.03</c:v>
                </c:pt>
              </c:numCache>
            </c:numRef>
          </c:val>
        </c:ser>
        <c:dLbls>
          <c:showLegendKey val="0"/>
          <c:showVal val="1"/>
          <c:showCatName val="0"/>
          <c:showSerName val="0"/>
          <c:showPercent val="0"/>
          <c:showBubbleSize val="0"/>
        </c:dLbls>
        <c:gapWidth val="150"/>
        <c:axId val="256640896"/>
        <c:axId val="256642432"/>
      </c:barChart>
      <c:catAx>
        <c:axId val="25664089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6642432"/>
        <c:crosses val="autoZero"/>
        <c:auto val="1"/>
        <c:lblAlgn val="ctr"/>
        <c:lblOffset val="100"/>
        <c:noMultiLvlLbl val="0"/>
      </c:catAx>
      <c:valAx>
        <c:axId val="25664243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664089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总收入</c:v>
                </c:pt>
              </c:strCache>
            </c:strRef>
          </c:tx>
          <c:explosion val="0"/>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一般公共预算财政拨款收入</c:v>
                </c:pt>
                <c:pt idx="1">
                  <c:v>政府性基金预算财政拨款收入</c:v>
                </c:pt>
                <c:pt idx="2">
                  <c:v>上级补助收入</c:v>
                </c:pt>
                <c:pt idx="3">
                  <c:v>经营收入</c:v>
                </c:pt>
                <c:pt idx="4">
                  <c:v>附属单位上缴收入</c:v>
                </c:pt>
                <c:pt idx="5">
                  <c:v>其他收入</c:v>
                </c:pt>
              </c:strCache>
            </c:strRef>
          </c:cat>
          <c:val>
            <c:numRef>
              <c:f>Sheet1!$B$2:$B$7</c:f>
              <c:numCache>
                <c:formatCode>General</c:formatCode>
                <c:ptCount val="6"/>
                <c:pt idx="0">
                  <c:v>463.03</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497514601246015"/>
          <c:y val="0.251766971339639"/>
          <c:w val="0.486943370519302"/>
          <c:h val="0.6599496168506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67312691138748"/>
          <c:y val="0"/>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总支出</c:v>
                </c:pt>
              </c:strCache>
            </c:strRef>
          </c:tx>
          <c:explosion val="0"/>
          <c:dPt>
            <c:idx val="0"/>
            <c:bubble3D val="0"/>
          </c:dPt>
          <c:dPt>
            <c:idx val="1"/>
            <c:bubble3D val="0"/>
          </c:dPt>
          <c:dPt>
            <c:idx val="2"/>
            <c:bubble3D val="0"/>
          </c:dPt>
          <c:dPt>
            <c:idx val="3"/>
            <c:bubble3D val="0"/>
          </c:dPt>
          <c:dPt>
            <c:idx val="4"/>
            <c:bubble3D val="0"/>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324.35</c:v>
                </c:pt>
                <c:pt idx="1">
                  <c:v>138.68</c:v>
                </c:pt>
                <c:pt idx="2">
                  <c:v>0</c:v>
                </c:pt>
                <c:pt idx="3">
                  <c:v>0</c:v>
                </c:pt>
                <c:pt idx="4">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财政拨款收、支总计</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458.94</c:v>
                </c:pt>
                <c:pt idx="1">
                  <c:v>463.03</c:v>
                </c:pt>
              </c:numCache>
            </c:numRef>
          </c:val>
        </c:ser>
        <c:dLbls>
          <c:showLegendKey val="0"/>
          <c:showVal val="1"/>
          <c:showCatName val="0"/>
          <c:showSerName val="0"/>
          <c:showPercent val="0"/>
          <c:showBubbleSize val="0"/>
        </c:dLbls>
        <c:gapWidth val="150"/>
        <c:axId val="126783488"/>
        <c:axId val="126785024"/>
      </c:barChart>
      <c:catAx>
        <c:axId val="1267834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6785024"/>
        <c:crosses val="autoZero"/>
        <c:auto val="1"/>
        <c:lblAlgn val="ctr"/>
        <c:lblOffset val="100"/>
        <c:noMultiLvlLbl val="0"/>
      </c:catAx>
      <c:valAx>
        <c:axId val="1267850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67834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458.94</c:v>
                </c:pt>
                <c:pt idx="1">
                  <c:v>463.03</c:v>
                </c:pt>
              </c:numCache>
            </c:numRef>
          </c:val>
        </c:ser>
        <c:dLbls>
          <c:showLegendKey val="0"/>
          <c:showVal val="1"/>
          <c:showCatName val="0"/>
          <c:showSerName val="0"/>
          <c:showPercent val="0"/>
          <c:showBubbleSize val="0"/>
        </c:dLbls>
        <c:gapWidth val="150"/>
        <c:axId val="256689664"/>
        <c:axId val="256691200"/>
      </c:barChart>
      <c:catAx>
        <c:axId val="2566896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6691200"/>
        <c:crosses val="autoZero"/>
        <c:auto val="1"/>
        <c:lblAlgn val="ctr"/>
        <c:lblOffset val="100"/>
        <c:noMultiLvlLbl val="0"/>
      </c:catAx>
      <c:valAx>
        <c:axId val="2566912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668966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569973161249581"/>
                  <c:y val="0.01351726383039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69221281550333"/>
                  <c:y val="0.017393232822641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29998223906223"/>
                  <c:y val="0.06519685039370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338144574033509"/>
                  <c:y val="-0.04591426071741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134893335701458"/>
                  <c:y val="0.02378603837311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123077378485585"/>
                  <c:y val="-0.025751083440151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一般公共服务支出</c:v>
                </c:pt>
                <c:pt idx="1">
                  <c:v>教育支出</c:v>
                </c:pt>
                <c:pt idx="2">
                  <c:v>科学技术支出</c:v>
                </c:pt>
                <c:pt idx="3">
                  <c:v>文化旅游体育与传媒支出</c:v>
                </c:pt>
                <c:pt idx="4">
                  <c:v>社会保障和就业支出</c:v>
                </c:pt>
                <c:pt idx="5">
                  <c:v>卫生健康支出</c:v>
                </c:pt>
                <c:pt idx="6">
                  <c:v>住房保障支出</c:v>
                </c:pt>
              </c:strCache>
            </c:strRef>
          </c:cat>
          <c:val>
            <c:numRef>
              <c:f>Sheet1!$B$2:$B$8</c:f>
              <c:numCache>
                <c:formatCode>General</c:formatCode>
                <c:ptCount val="7"/>
                <c:pt idx="0">
                  <c:v>0</c:v>
                </c:pt>
                <c:pt idx="1">
                  <c:v>0</c:v>
                </c:pt>
                <c:pt idx="2">
                  <c:v>0</c:v>
                </c:pt>
                <c:pt idx="3">
                  <c:v>0</c:v>
                </c:pt>
                <c:pt idx="4">
                  <c:v>432.46</c:v>
                </c:pt>
                <c:pt idx="5">
                  <c:v>13.04</c:v>
                </c:pt>
                <c:pt idx="6">
                  <c:v>17.53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Pt>
            <c:idx val="2"/>
            <c:bubble3D val="0"/>
          </c:dPt>
          <c:dLbls>
            <c:dLbl>
              <c:idx val="2"/>
              <c:layout>
                <c:manualLayout>
                  <c:x val="-0.0462096153643445"/>
                  <c:y val="0.0011622047244094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21.78</c:v>
                </c:pt>
                <c:pt idx="2">
                  <c:v>0.11</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11821986107159"/>
          <c:y val="0.306341732283465"/>
          <c:w val="0.372113756864729"/>
          <c:h val="0.60331653543307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11869</Words>
  <Characters>12797</Characters>
  <Lines>57</Lines>
  <Paragraphs>16</Paragraphs>
  <TotalTime>3</TotalTime>
  <ScaleCrop>false</ScaleCrop>
  <LinksUpToDate>false</LinksUpToDate>
  <CharactersWithSpaces>13216</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2020-08-06T09:49:00Z</dcterms:created>
  <dc:creator>曹颖</dc:creator>
  <cp:lastModifiedBy>user</cp:lastModifiedBy>
  <cp:lastPrinted>2023-09-12T08:54:20Z</cp:lastPrinted>
  <dcterms:modified xsi:type="dcterms:W3CDTF">2023-09-12T09:20:25Z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C655EC0496984F63B9744F8CDAD579CF</vt:lpwstr>
  </property>
</Properties>
</file>