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96475"/>
      <w:bookmarkStart w:id="1" w:name="_Toc15377193"/>
      <w:bookmarkStart w:id="2" w:name="_Toc15378441"/>
      <w:bookmarkStart w:id="3" w:name="_Toc15396597"/>
      <w:bookmarkStart w:id="4" w:name="_Toc15377425"/>
      <w:bookmarkStart w:id="5" w:name="_Toc15306267"/>
      <w:r>
        <w:rPr>
          <w:rFonts w:hint="eastAsia" w:ascii="仿宋_GB2312" w:eastAsia="仿宋_GB2312"/>
          <w:sz w:val="32"/>
          <w:szCs w:val="32"/>
        </w:rPr>
        <w:t>附件</w:t>
      </w:r>
      <w:r>
        <w:rPr>
          <w:rFonts w:ascii="仿宋_GB2312" w:eastAsia="仿宋_GB2312"/>
          <w:sz w:val="32"/>
          <w:szCs w:val="32"/>
        </w:rPr>
        <w:t>2</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6" w:name="_Toc15377194"/>
      <w:bookmarkStart w:id="7" w:name="_Toc15396476"/>
      <w:bookmarkStart w:id="8" w:name="_Toc15396598"/>
      <w:bookmarkStart w:id="9" w:name="_Toc15377426"/>
      <w:bookmarkStart w:id="10" w:name="_Toc15378442"/>
      <w:r>
        <w:rPr>
          <w:rFonts w:hint="eastAsia" w:ascii="方正小标宋简体" w:eastAsia="方正小标宋简体" w:cs="方正小标宋简体"/>
          <w:sz w:val="72"/>
          <w:szCs w:val="72"/>
          <w:lang w:val="en-US" w:eastAsia="zh-CN"/>
        </w:rPr>
        <w:t>四川省</w:t>
      </w:r>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红十字会</w:t>
      </w:r>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r>
        <w:rPr>
          <w:rFonts w:hint="eastAsia" w:ascii="方正小标宋简体" w:eastAsia="方正小标宋简体" w:cs="方正小标宋简体"/>
          <w:sz w:val="72"/>
          <w:szCs w:val="72"/>
        </w:rPr>
        <w:t>部门决算</w:t>
      </w:r>
      <w:bookmarkEnd w:id="6"/>
      <w:bookmarkEnd w:id="7"/>
      <w:bookmarkEnd w:id="8"/>
      <w:bookmarkEnd w:id="9"/>
      <w:bookmarkEnd w:id="10"/>
      <w:bookmarkEnd w:id="11"/>
      <w:r>
        <w:rPr>
          <w:rFonts w:hint="eastAsia" w:ascii="方正小标宋简体" w:eastAsia="方正小标宋简体" w:cs="方正小标宋简体"/>
          <w:sz w:val="72"/>
          <w:szCs w:val="72"/>
          <w:lang w:val="en-US" w:eastAsia="zh-CN"/>
        </w:rPr>
        <w:t>公开</w:t>
      </w: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0"/>
      </w:pPr>
      <w:r>
        <w:rPr>
          <w:rFonts w:hint="eastAsia"/>
        </w:rPr>
        <w:t>公开时间：2022年</w:t>
      </w:r>
      <w:r>
        <w:t>9</w:t>
      </w:r>
      <w:r>
        <w:rPr>
          <w:rFonts w:hint="eastAsia"/>
        </w:rPr>
        <w:t>月29日</w:t>
      </w:r>
    </w:p>
    <w:p/>
    <w:p>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p>
    <w:p>
      <w:pPr>
        <w:pStyle w:val="11"/>
        <w:adjustRightInd w:val="0"/>
        <w:snapToGrid w:val="0"/>
        <w:spacing w:line="440" w:lineRule="exact"/>
        <w:ind w:left="420"/>
        <w:jc w:val="left"/>
        <w:rPr>
          <w:rFonts w:ascii="仿宋" w:eastAsia="仿宋"/>
          <w:sz w:val="24"/>
        </w:rPr>
      </w:pPr>
      <w:r>
        <w:rPr>
          <w:rFonts w:hint="eastAsia"/>
          <w:sz w:val="24"/>
        </w:rPr>
        <w:t>一、基本职能及主要工作</w:t>
      </w:r>
    </w:p>
    <w:p>
      <w:pPr>
        <w:pStyle w:val="11"/>
        <w:adjustRightInd w:val="0"/>
        <w:snapToGrid w:val="0"/>
        <w:spacing w:line="440" w:lineRule="exact"/>
        <w:ind w:left="420"/>
        <w:jc w:val="left"/>
        <w:rPr>
          <w:rFonts w:ascii="仿宋" w:eastAsia="仿宋" w:cs="Arial"/>
          <w:sz w:val="24"/>
        </w:rPr>
      </w:pPr>
      <w:r>
        <w:rPr>
          <w:rFonts w:hint="eastAsia"/>
          <w:sz w:val="24"/>
        </w:rPr>
        <w:t>二、机构设置</w:t>
      </w:r>
    </w:p>
    <w:p>
      <w:pPr>
        <w:pStyle w:val="10"/>
        <w:adjustRightInd w:val="0"/>
        <w:snapToGrid w:val="0"/>
        <w:spacing w:before="0" w:line="440" w:lineRule="exact"/>
        <w:jc w:val="left"/>
        <w:rPr>
          <w:sz w:val="24"/>
          <w:szCs w:val="24"/>
        </w:rPr>
      </w:pPr>
      <w:r>
        <w:rPr>
          <w:rFonts w:hint="eastAsia"/>
          <w:sz w:val="24"/>
        </w:rPr>
        <w:t>第二部分 2021年度部门决算情况说明</w:t>
      </w:r>
    </w:p>
    <w:p>
      <w:pPr>
        <w:pStyle w:val="11"/>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1"/>
        <w:adjustRightInd w:val="0"/>
        <w:snapToGrid w:val="0"/>
        <w:spacing w:line="440" w:lineRule="exact"/>
        <w:ind w:left="420"/>
        <w:jc w:val="left"/>
        <w:rPr>
          <w:rFonts w:ascii="仿宋" w:eastAsia="仿宋" w:cs="Arial"/>
          <w:sz w:val="24"/>
        </w:rPr>
      </w:pPr>
      <w:r>
        <w:rPr>
          <w:rFonts w:hint="eastAsia"/>
          <w:sz w:val="24"/>
        </w:rPr>
        <w:t>二、收入决算情况说明</w:t>
      </w:r>
    </w:p>
    <w:p>
      <w:pPr>
        <w:pStyle w:val="11"/>
        <w:adjustRightInd w:val="0"/>
        <w:snapToGrid w:val="0"/>
        <w:spacing w:line="440" w:lineRule="exact"/>
        <w:ind w:left="420"/>
        <w:jc w:val="left"/>
        <w:rPr>
          <w:rFonts w:ascii="仿宋" w:eastAsia="仿宋" w:cs="Arial"/>
          <w:sz w:val="24"/>
        </w:rPr>
      </w:pPr>
      <w:r>
        <w:rPr>
          <w:rFonts w:hint="eastAsia"/>
          <w:sz w:val="24"/>
        </w:rPr>
        <w:t>三、支出决算情况说明</w:t>
      </w:r>
    </w:p>
    <w:p>
      <w:pPr>
        <w:pStyle w:val="11"/>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1"/>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1"/>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1"/>
        <w:adjustRightInd w:val="0"/>
        <w:snapToGrid w:val="0"/>
        <w:spacing w:line="440" w:lineRule="exact"/>
        <w:ind w:left="420"/>
        <w:jc w:val="left"/>
        <w:rPr>
          <w:rFonts w:ascii="仿宋" w:eastAsia="仿宋" w:cs="Arial"/>
          <w:sz w:val="24"/>
        </w:rPr>
      </w:pPr>
      <w:r>
        <w:rPr>
          <w:rFonts w:hint="eastAsia"/>
          <w:sz w:val="24"/>
        </w:rPr>
        <w:t>七、“三公”经费财政拨款支出决算情况说明</w:t>
      </w:r>
    </w:p>
    <w:p>
      <w:pPr>
        <w:pStyle w:val="11"/>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1"/>
        <w:adjustRightInd w:val="0"/>
        <w:snapToGrid w:val="0"/>
        <w:spacing w:line="440" w:lineRule="exact"/>
        <w:ind w:left="0" w:leftChars="0"/>
        <w:jc w:val="left"/>
        <w:rPr>
          <w:rFonts w:ascii="宋体" w:cs="宋体"/>
          <w:sz w:val="24"/>
        </w:rPr>
      </w:pPr>
      <w:r>
        <w:rPr>
          <w:rFonts w:hint="eastAsia" w:ascii="宋体" w:cs="宋体"/>
          <w:sz w:val="24"/>
        </w:rPr>
        <w:t>九、国有资本经营预算支出决算情况说明</w:t>
      </w:r>
    </w:p>
    <w:p>
      <w:pPr>
        <w:adjustRightInd w:val="0"/>
        <w:snapToGrid w:val="0"/>
        <w:spacing w:line="440" w:lineRule="exact"/>
        <w:ind w:firstLine="420" w:firstLineChars="175"/>
        <w:jc w:val="left"/>
        <w:rPr>
          <w:rFonts w:ascii="宋体" w:cs="宋体"/>
          <w:sz w:val="24"/>
        </w:rPr>
      </w:pPr>
      <w:r>
        <w:rPr>
          <w:rStyle w:val="15"/>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p>
    <w:p>
      <w:pPr>
        <w:pStyle w:val="10"/>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p>
    <w:p>
      <w:pPr>
        <w:pStyle w:val="10"/>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p>
    <w:p>
      <w:pPr>
        <w:pStyle w:val="10"/>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p>
    <w:p>
      <w:pPr>
        <w:pStyle w:val="11"/>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1"/>
        <w:adjustRightInd w:val="0"/>
        <w:snapToGrid w:val="0"/>
        <w:spacing w:line="440" w:lineRule="exact"/>
        <w:ind w:left="420"/>
        <w:jc w:val="left"/>
        <w:rPr>
          <w:rFonts w:ascii="宋体" w:cs="宋体"/>
          <w:sz w:val="24"/>
        </w:rPr>
      </w:pPr>
      <w:r>
        <w:rPr>
          <w:rFonts w:hint="eastAsia" w:ascii="宋体" w:cs="宋体"/>
          <w:sz w:val="24"/>
        </w:rPr>
        <w:t>二、收入决算表</w:t>
      </w:r>
    </w:p>
    <w:p>
      <w:pPr>
        <w:pStyle w:val="11"/>
        <w:adjustRightInd w:val="0"/>
        <w:snapToGrid w:val="0"/>
        <w:spacing w:line="440" w:lineRule="exact"/>
        <w:ind w:left="420"/>
        <w:jc w:val="left"/>
        <w:rPr>
          <w:rFonts w:ascii="宋体" w:cs="宋体"/>
          <w:sz w:val="24"/>
        </w:rPr>
      </w:pPr>
      <w:r>
        <w:rPr>
          <w:rFonts w:hint="eastAsia" w:ascii="宋体" w:cs="宋体"/>
          <w:sz w:val="24"/>
        </w:rPr>
        <w:t>三、支出决算表</w:t>
      </w:r>
    </w:p>
    <w:p>
      <w:pPr>
        <w:pStyle w:val="11"/>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1"/>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1"/>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1"/>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1"/>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1"/>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1"/>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1"/>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1"/>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adjustRightInd w:val="0"/>
        <w:snapToGrid w:val="0"/>
        <w:spacing w:line="440" w:lineRule="exact"/>
        <w:ind w:firstLine="1320" w:firstLineChars="550"/>
        <w:jc w:val="left"/>
        <w:rPr>
          <w:rFonts w:ascii="仿宋" w:eastAsia="仿宋"/>
          <w:sz w:val="24"/>
        </w:rPr>
      </w:pPr>
      <w:r>
        <w:rPr>
          <w:rFonts w:ascii="仿宋" w:eastAsia="仿宋"/>
          <w:sz w:val="24"/>
        </w:rPr>
        <w:t>(注：</w:t>
      </w:r>
      <w:r>
        <w:rPr>
          <w:rFonts w:hint="eastAsia" w:ascii="仿宋" w:eastAsia="仿宋"/>
          <w:sz w:val="24"/>
        </w:rPr>
        <w:t>请部门根据实际注明页码</w:t>
      </w:r>
      <w:r>
        <w:rPr>
          <w:rFonts w:ascii="仿宋" w:eastAsia="仿宋"/>
          <w:sz w:val="24"/>
        </w:rPr>
        <w:t>)</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3"/>
        <w:jc w:val="center"/>
        <w:rPr>
          <w:rStyle w:val="16"/>
          <w:rFonts w:ascii="黑体" w:eastAsia="黑体"/>
          <w:b/>
          <w:bCs w:val="0"/>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4"/>
        <w:pageBreakBefore w:val="0"/>
        <w:widowControl w:val="0"/>
        <w:kinsoku/>
        <w:wordWrap/>
        <w:overflowPunct/>
        <w:topLinePunct w:val="0"/>
        <w:autoSpaceDE/>
        <w:autoSpaceDN/>
        <w:bidi w:val="0"/>
        <w:spacing w:line="576" w:lineRule="exact"/>
        <w:ind w:firstLine="640" w:firstLineChars="200"/>
        <w:textAlignment w:val="auto"/>
        <w:rPr>
          <w:rStyle w:val="26"/>
          <w:rFonts w:ascii="黑体" w:hAnsi="黑体" w:eastAsia="黑体"/>
          <w:b w:val="0"/>
          <w:bCs w:val="0"/>
        </w:rPr>
      </w:pPr>
      <w:bookmarkStart w:id="14" w:name="_Toc15396600"/>
      <w:bookmarkStart w:id="15" w:name="_Toc15377197"/>
      <w:bookmarkStart w:id="16" w:name="_Toc15396602"/>
      <w:bookmarkStart w:id="17" w:name="_Toc15377204"/>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2"/>
        <w:pageBreakBefore w:val="0"/>
        <w:widowControl w:val="0"/>
        <w:kinsoku/>
        <w:wordWrap/>
        <w:overflowPunct/>
        <w:topLinePunct w:val="0"/>
        <w:autoSpaceDE/>
        <w:autoSpaceDN/>
        <w:bidi w:val="0"/>
        <w:adjustRightInd w:val="0"/>
        <w:snapToGrid w:val="0"/>
        <w:spacing w:before="93" w:line="576" w:lineRule="exact"/>
        <w:ind w:firstLine="643" w:firstLineChars="200"/>
        <w:textAlignment w:val="auto"/>
        <w:outlineLvl w:val="2"/>
        <w:rPr>
          <w:rFonts w:hAnsiTheme="majorEastAsia"/>
          <w:b/>
          <w:bCs/>
          <w:color w:val="000000"/>
          <w:sz w:val="32"/>
          <w:szCs w:val="32"/>
        </w:rPr>
      </w:pPr>
      <w:bookmarkStart w:id="18" w:name="_Toc15377198"/>
      <w:bookmarkStart w:id="19" w:name="_Toc15378445"/>
      <w:r>
        <w:rPr>
          <w:rFonts w:hint="eastAsia" w:hAnsiTheme="majorEastAsia"/>
          <w:b/>
          <w:bCs/>
          <w:color w:val="000000"/>
          <w:sz w:val="32"/>
          <w:szCs w:val="32"/>
        </w:rPr>
        <w:t>（一）主要职能</w:t>
      </w:r>
      <w:bookmarkEnd w:id="18"/>
      <w:bookmarkEnd w:id="19"/>
      <w:bookmarkStart w:id="20" w:name="_Toc15378446"/>
      <w:bookmarkStart w:id="21" w:name="_Toc15377199"/>
    </w:p>
    <w:p>
      <w:pPr>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eastAsia="仿宋_GB2312" w:hAnsiTheme="majorEastAsia"/>
          <w:sz w:val="32"/>
          <w:szCs w:val="32"/>
        </w:rPr>
      </w:pPr>
      <w:r>
        <w:rPr>
          <w:rFonts w:hint="eastAsia" w:ascii="仿宋_GB2312" w:eastAsia="仿宋_GB2312" w:hAnsiTheme="majorEastAsia"/>
          <w:sz w:val="32"/>
          <w:szCs w:val="32"/>
        </w:rPr>
        <w:t>阿坝州红十字会是中华人民共和国统一的红十字组织，是从事人道主义工作的社会救助团体。阿坝州红十字会遵守宪法和法律，按照《中国红十字会章程》独立自主地开展工作。</w:t>
      </w:r>
    </w:p>
    <w:p>
      <w:pPr>
        <w:pStyle w:val="2"/>
        <w:pageBreakBefore w:val="0"/>
        <w:widowControl w:val="0"/>
        <w:kinsoku/>
        <w:wordWrap/>
        <w:overflowPunct/>
        <w:topLinePunct w:val="0"/>
        <w:autoSpaceDE/>
        <w:autoSpaceDN/>
        <w:bidi w:val="0"/>
        <w:adjustRightInd w:val="0"/>
        <w:snapToGrid w:val="0"/>
        <w:spacing w:before="93" w:line="576" w:lineRule="exact"/>
        <w:ind w:firstLine="675" w:firstLineChars="210"/>
        <w:textAlignment w:val="auto"/>
        <w:outlineLvl w:val="2"/>
        <w:rPr>
          <w:rFonts w:hAnsiTheme="majorEastAsia"/>
          <w:b/>
          <w:bCs/>
          <w:color w:val="000000"/>
          <w:sz w:val="32"/>
          <w:szCs w:val="32"/>
        </w:rPr>
      </w:pPr>
      <w:r>
        <w:rPr>
          <w:rFonts w:hint="eastAsia" w:hAnsiTheme="majorEastAsia"/>
          <w:b/>
          <w:bCs/>
          <w:color w:val="000000"/>
          <w:sz w:val="32"/>
          <w:szCs w:val="32"/>
        </w:rPr>
        <w:t>（二）20</w:t>
      </w:r>
      <w:r>
        <w:rPr>
          <w:rFonts w:hint="eastAsia" w:hAnsiTheme="majorEastAsia"/>
          <w:b/>
          <w:bCs/>
          <w:color w:val="000000"/>
          <w:sz w:val="32"/>
          <w:szCs w:val="32"/>
          <w:lang w:val="en-US" w:eastAsia="zh-CN"/>
        </w:rPr>
        <w:t>21</w:t>
      </w:r>
      <w:r>
        <w:rPr>
          <w:rFonts w:hint="eastAsia" w:hAnsiTheme="majorEastAsia"/>
          <w:b/>
          <w:bCs/>
          <w:color w:val="000000"/>
          <w:sz w:val="32"/>
          <w:szCs w:val="32"/>
        </w:rPr>
        <w:t>年重点工作完成情况</w:t>
      </w:r>
      <w:bookmarkEnd w:id="20"/>
      <w:bookmarkEnd w:id="21"/>
    </w:p>
    <w:p>
      <w:pPr>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eastAsia="仿宋_GB2312" w:hAnsiTheme="majorEastAsia"/>
          <w:sz w:val="32"/>
          <w:szCs w:val="32"/>
        </w:rPr>
      </w:pPr>
      <w:r>
        <w:rPr>
          <w:rFonts w:hint="eastAsia" w:ascii="仿宋_GB2312" w:eastAsia="仿宋_GB2312" w:hAnsiTheme="majorEastAsia"/>
          <w:sz w:val="32"/>
          <w:szCs w:val="32"/>
        </w:rPr>
        <w:t>20</w:t>
      </w:r>
      <w:r>
        <w:rPr>
          <w:rFonts w:hint="eastAsia" w:ascii="仿宋_GB2312" w:eastAsia="仿宋_GB2312" w:hAnsiTheme="majorEastAsia"/>
          <w:sz w:val="32"/>
          <w:szCs w:val="32"/>
          <w:lang w:val="en-US" w:eastAsia="zh-CN"/>
        </w:rPr>
        <w:t>21</w:t>
      </w:r>
      <w:r>
        <w:rPr>
          <w:rFonts w:hint="eastAsia" w:ascii="仿宋_GB2312" w:eastAsia="仿宋_GB2312" w:hAnsiTheme="majorEastAsia"/>
          <w:sz w:val="32"/>
          <w:szCs w:val="32"/>
        </w:rPr>
        <w:t>年，我会在州委、州政府的坚强领导下，在省红十字会的正确指导下依法履行红十字会各项职责,在灾难救援、人道救助、应急救护、“三献”宣传动员、组织建设等工作中取得了较大的成绩。</w:t>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r>
        <w:rPr>
          <w:rFonts w:hint="eastAsia" w:ascii="仿宋_GB2312" w:eastAsia="仿宋_GB2312" w:hAnsiTheme="majorEastAsia"/>
          <w:sz w:val="32"/>
          <w:szCs w:val="32"/>
        </w:rPr>
        <w:tab/>
      </w:r>
    </w:p>
    <w:p>
      <w:pPr>
        <w:pStyle w:val="4"/>
        <w:pageBreakBefore w:val="0"/>
        <w:widowControl w:val="0"/>
        <w:numPr>
          <w:ilvl w:val="0"/>
          <w:numId w:val="1"/>
        </w:numPr>
        <w:kinsoku/>
        <w:wordWrap/>
        <w:overflowPunct/>
        <w:topLinePunct w:val="0"/>
        <w:autoSpaceDE/>
        <w:autoSpaceDN/>
        <w:bidi w:val="0"/>
        <w:spacing w:line="576" w:lineRule="exact"/>
        <w:textAlignment w:val="auto"/>
        <w:rPr>
          <w:rStyle w:val="26"/>
          <w:b w:val="0"/>
          <w:bCs w:val="0"/>
        </w:rPr>
      </w:pPr>
      <w:bookmarkStart w:id="22" w:name="_Toc15396601"/>
      <w:bookmarkStart w:id="23" w:name="_Toc15377200"/>
      <w:r>
        <w:rPr>
          <w:rFonts w:hint="eastAsia" w:ascii="黑体" w:hAnsi="黑体" w:eastAsia="黑体"/>
          <w:b w:val="0"/>
          <w:color w:val="000000"/>
        </w:rPr>
        <w:t>机</w:t>
      </w:r>
      <w:r>
        <w:rPr>
          <w:rStyle w:val="26"/>
          <w:rFonts w:hint="eastAsia" w:ascii="黑体" w:hAnsi="黑体" w:eastAsia="黑体"/>
          <w:b w:val="0"/>
          <w:bCs w:val="0"/>
        </w:rPr>
        <w:t>构设置</w:t>
      </w:r>
      <w:bookmarkEnd w:id="22"/>
      <w:bookmarkEnd w:id="23"/>
      <w:bookmarkStart w:id="24" w:name="_Toc15377434"/>
      <w:bookmarkStart w:id="25" w:name="_Toc15378450"/>
      <w:bookmarkStart w:id="26" w:name="_Toc15377203"/>
      <w:bookmarkStart w:id="27" w:name="_Toc15306277"/>
    </w:p>
    <w:p>
      <w:pPr>
        <w:pStyle w:val="2"/>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AnsiTheme="majorEastAsia"/>
          <w:kern w:val="2"/>
          <w:sz w:val="32"/>
          <w:szCs w:val="32"/>
        </w:rPr>
      </w:pPr>
      <w:r>
        <w:rPr>
          <w:rFonts w:hint="eastAsia" w:hAnsiTheme="majorEastAsia"/>
          <w:kern w:val="2"/>
          <w:sz w:val="32"/>
          <w:szCs w:val="32"/>
        </w:rPr>
        <w:t>20</w:t>
      </w:r>
      <w:r>
        <w:rPr>
          <w:rFonts w:hint="eastAsia" w:hAnsiTheme="majorEastAsia"/>
          <w:kern w:val="2"/>
          <w:sz w:val="32"/>
          <w:szCs w:val="32"/>
          <w:lang w:val="en-US" w:eastAsia="zh-CN"/>
        </w:rPr>
        <w:t>21</w:t>
      </w:r>
      <w:r>
        <w:rPr>
          <w:rFonts w:hint="eastAsia" w:hAnsiTheme="majorEastAsia"/>
          <w:kern w:val="2"/>
          <w:sz w:val="32"/>
          <w:szCs w:val="32"/>
        </w:rPr>
        <w:t>年末共有机构数1个（参照公务员管理），为全额预算单位，其中内设机构4个，与去年相比没有数量变化。参公事业编制人数10人，年末在职人员</w:t>
      </w:r>
      <w:r>
        <w:rPr>
          <w:rFonts w:hint="eastAsia" w:hAnsiTheme="majorEastAsia"/>
          <w:kern w:val="2"/>
          <w:sz w:val="32"/>
          <w:szCs w:val="32"/>
          <w:lang w:val="en-US" w:eastAsia="zh-CN"/>
        </w:rPr>
        <w:t>10</w:t>
      </w:r>
      <w:r>
        <w:rPr>
          <w:rFonts w:hint="eastAsia" w:hAnsiTheme="majorEastAsia"/>
          <w:kern w:val="2"/>
          <w:sz w:val="32"/>
          <w:szCs w:val="32"/>
        </w:rPr>
        <w:t>人，与上年相比在职人员</w:t>
      </w:r>
      <w:r>
        <w:rPr>
          <w:rFonts w:hint="eastAsia" w:hAnsiTheme="majorEastAsia"/>
          <w:kern w:val="2"/>
          <w:sz w:val="32"/>
          <w:szCs w:val="32"/>
          <w:lang w:val="en-US" w:eastAsia="zh-CN"/>
        </w:rPr>
        <w:t>无变化</w:t>
      </w:r>
      <w:r>
        <w:rPr>
          <w:rFonts w:hint="eastAsia" w:hAnsiTheme="majorEastAsia"/>
          <w:kern w:val="2"/>
          <w:sz w:val="32"/>
          <w:szCs w:val="32"/>
        </w:rPr>
        <w:t>。</w:t>
      </w:r>
      <w:bookmarkEnd w:id="24"/>
      <w:bookmarkEnd w:id="25"/>
      <w:bookmarkEnd w:id="26"/>
      <w:bookmarkEnd w:id="27"/>
    </w:p>
    <w:p>
      <w:pPr>
        <w:widowControl/>
        <w:spacing w:line="576" w:lineRule="exact"/>
        <w:jc w:val="left"/>
        <w:rPr>
          <w:rFonts w:ascii="仿宋_GB2312" w:hAnsi="仿宋" w:eastAsia="仿宋_GB2312"/>
          <w:sz w:val="32"/>
          <w:szCs w:val="32"/>
        </w:rPr>
      </w:pPr>
      <w:r>
        <w:rPr>
          <w:rFonts w:hint="eastAsia" w:ascii="仿宋_GB2312" w:hAnsi="仿宋" w:eastAsia="仿宋_GB2312"/>
          <w:sz w:val="32"/>
          <w:szCs w:val="32"/>
        </w:rPr>
        <w:br w:type="page"/>
      </w:r>
    </w:p>
    <w:p>
      <w:pPr>
        <w:pStyle w:val="3"/>
        <w:ind w:right="440"/>
        <w:jc w:val="center"/>
        <w:rPr>
          <w:rStyle w:val="16"/>
          <w:rFonts w:ascii="黑体" w:eastAsia="黑体"/>
          <w:b w:val="0"/>
          <w:bCs/>
        </w:rPr>
      </w:pPr>
      <w:r>
        <w:rPr>
          <w:rFonts w:hint="eastAsia" w:ascii="黑体" w:eastAsia="黑体"/>
          <w:b w:val="0"/>
        </w:rPr>
        <w:t>第二部分 2021年度</w:t>
      </w:r>
      <w:r>
        <w:rPr>
          <w:rStyle w:val="16"/>
          <w:rFonts w:hint="eastAsia" w:ascii="黑体" w:eastAsia="黑体"/>
          <w:b w:val="0"/>
          <w:bCs/>
        </w:rPr>
        <w:t>部门决算情况说明</w:t>
      </w:r>
      <w:bookmarkEnd w:id="16"/>
      <w:bookmarkEnd w:id="17"/>
    </w:p>
    <w:p/>
    <w:p>
      <w:pPr>
        <w:pStyle w:val="22"/>
        <w:numPr>
          <w:ilvl w:val="0"/>
          <w:numId w:val="2"/>
        </w:numPr>
        <w:spacing w:line="600" w:lineRule="exact"/>
        <w:ind w:firstLineChars="0"/>
        <w:outlineLvl w:val="1"/>
        <w:rPr>
          <w:rStyle w:val="26"/>
          <w:rFonts w:ascii="黑体" w:hAnsi="黑体" w:eastAsia="黑体"/>
          <w:b w:val="0"/>
        </w:rPr>
      </w:pPr>
      <w:bookmarkStart w:id="28" w:name="_Toc15377205"/>
      <w:bookmarkStart w:id="29" w:name="_Toc15396603"/>
      <w:bookmarkStart w:id="30" w:name="_Toc15396613"/>
      <w:bookmarkStart w:id="31" w:name="_Toc1537722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p>
    <w:p>
      <w:pPr>
        <w:snapToGrid w:val="0"/>
        <w:spacing w:line="576" w:lineRule="exact"/>
        <w:ind w:left="640"/>
        <w:rPr>
          <w:rFonts w:ascii="仿宋_GB2312" w:hAnsi="仿宋" w:eastAsia="仿宋_GB2312"/>
          <w:sz w:val="32"/>
          <w:szCs w:val="32"/>
        </w:rPr>
      </w:pPr>
      <w:r>
        <w:rPr>
          <w:rFonts w:hint="eastAsia" w:ascii="仿宋_GB2312" w:hAnsi="仿宋" w:eastAsia="仿宋_GB2312"/>
          <w:sz w:val="32"/>
          <w:szCs w:val="32"/>
        </w:rPr>
        <w:t>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年度收、支总计</w:t>
      </w:r>
      <w:r>
        <w:rPr>
          <w:rFonts w:hint="eastAsia" w:ascii="仿宋_GB2312" w:hAnsi="仿宋" w:eastAsia="仿宋_GB2312"/>
          <w:sz w:val="32"/>
          <w:szCs w:val="32"/>
          <w:lang w:val="en-US" w:eastAsia="zh-CN"/>
        </w:rPr>
        <w:t>458.94万元，343.72</w:t>
      </w:r>
      <w:r>
        <w:rPr>
          <w:rFonts w:hint="eastAsia" w:ascii="仿宋_GB2312" w:hAnsi="仿宋" w:eastAsia="仿宋_GB2312"/>
          <w:sz w:val="32"/>
          <w:szCs w:val="32"/>
        </w:rPr>
        <w:t>万元，</w:t>
      </w:r>
      <w:bookmarkStart w:id="32" w:name="_Toc15377206"/>
      <w:bookmarkStart w:id="33" w:name="_Toc15396604"/>
      <w:r>
        <w:rPr>
          <w:rFonts w:hint="eastAsia" w:ascii="仿宋_GB2312" w:hAnsi="仿宋" w:eastAsia="仿宋_GB2312"/>
          <w:sz w:val="32"/>
          <w:szCs w:val="32"/>
        </w:rPr>
        <w:t>与20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年相比</w:t>
      </w:r>
      <w:r>
        <w:rPr>
          <w:rFonts w:hint="eastAsia" w:ascii="仿宋_GB2312" w:hAnsi="仿宋" w:eastAsia="仿宋_GB2312"/>
          <w:sz w:val="32"/>
          <w:szCs w:val="32"/>
          <w:lang w:val="en-US" w:eastAsia="zh-CN"/>
        </w:rPr>
        <w:t>增加115.22</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增加33.52</w:t>
      </w:r>
      <w:r>
        <w:rPr>
          <w:rFonts w:hint="eastAsia" w:ascii="仿宋_GB2312" w:hAnsi="仿宋" w:eastAsia="仿宋_GB2312"/>
          <w:sz w:val="32"/>
          <w:szCs w:val="32"/>
        </w:rPr>
        <w:t>%。主要变动原因是</w:t>
      </w:r>
      <w:r>
        <w:rPr>
          <w:rFonts w:hint="eastAsia" w:ascii="仿宋_GB2312" w:hAnsi="仿宋" w:eastAsia="仿宋_GB2312"/>
          <w:sz w:val="32"/>
          <w:szCs w:val="32"/>
          <w:lang w:val="en-US" w:eastAsia="zh-CN"/>
        </w:rPr>
        <w:t>较上年项目增加</w:t>
      </w:r>
      <w:r>
        <w:rPr>
          <w:rFonts w:hint="eastAsia" w:ascii="仿宋_GB2312" w:hAnsi="仿宋" w:eastAsia="仿宋_GB2312"/>
          <w:sz w:val="32"/>
          <w:szCs w:val="32"/>
        </w:rPr>
        <w:t>。</w:t>
      </w:r>
    </w:p>
    <w:p>
      <w:pPr>
        <w:snapToGrid w:val="0"/>
        <w:spacing w:line="576" w:lineRule="exact"/>
        <w:rPr>
          <w:rStyle w:val="26"/>
          <w:rFonts w:ascii="仿宋_GB2312" w:hAnsi="仿宋" w:eastAsia="仿宋_GB2312" w:cs="Times New Roman"/>
          <w:b w:val="0"/>
          <w:bCs w:val="0"/>
        </w:rPr>
      </w:pPr>
      <w:r>
        <w:rPr>
          <w:rFonts w:hint="eastAsia" w:ascii="仿宋_GB2312" w:hAnsi="仿宋" w:eastAsia="仿宋_GB2312"/>
          <w:sz w:val="32"/>
          <w:szCs w:val="32"/>
        </w:rPr>
        <w:t>图1：收、支决算总计变动情况图</w:t>
      </w:r>
    </w:p>
    <w:p>
      <w:pPr>
        <w:snapToGrid w:val="0"/>
        <w:spacing w:line="576" w:lineRule="exact"/>
        <w:ind w:firstLine="643" w:firstLineChars="200"/>
        <w:rPr>
          <w:rStyle w:val="26"/>
          <w:rFonts w:ascii="黑体" w:hAnsi="黑体" w:eastAsia="黑体"/>
          <w:b w:val="0"/>
        </w:rPr>
      </w:pPr>
      <w:r>
        <w:rPr>
          <w:rStyle w:val="26"/>
          <w:rFonts w:hint="eastAsia" w:ascii="黑体" w:hAnsi="黑体" w:eastAsia="黑体"/>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153670</wp:posOffset>
            </wp:positionV>
            <wp:extent cx="5105400" cy="2505075"/>
            <wp:effectExtent l="4445" t="4445" r="14605" b="5080"/>
            <wp:wrapSquare wrapText="bothSides"/>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End w:id="32"/>
      <w:bookmarkEnd w:id="33"/>
    </w:p>
    <w:p>
      <w:pPr>
        <w:spacing w:line="600" w:lineRule="exact"/>
        <w:ind w:firstLine="643" w:firstLineChars="200"/>
        <w:outlineLvl w:val="1"/>
        <w:rPr>
          <w:rFonts w:ascii="仿宋" w:hAnsi="仿宋" w:eastAsia="仿宋"/>
          <w:color w:val="000000"/>
          <w:sz w:val="32"/>
          <w:szCs w:val="32"/>
        </w:rPr>
      </w:pPr>
      <w:r>
        <w:rPr>
          <w:rStyle w:val="26"/>
          <w:rFonts w:hint="eastAsia" w:ascii="黑体" w:hAnsi="黑体" w:eastAsia="黑体"/>
        </w:rPr>
        <w:t>二、收</w:t>
      </w:r>
      <w:r>
        <w:rPr>
          <w:rStyle w:val="26"/>
          <w:rFonts w:hint="eastAsia" w:ascii="黑体" w:hAnsi="黑体" w:eastAsia="黑体"/>
          <w:b w:val="0"/>
        </w:rPr>
        <w:t>入决算情况说明</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458.94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458.94</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266700</wp:posOffset>
            </wp:positionH>
            <wp:positionV relativeFrom="paragraph">
              <wp:posOffset>638175</wp:posOffset>
            </wp:positionV>
            <wp:extent cx="4950460" cy="2181225"/>
            <wp:effectExtent l="4445" t="4445" r="17145" b="50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w:t>
      </w:r>
    </w:p>
    <w:p>
      <w:pPr>
        <w:spacing w:line="600" w:lineRule="exact"/>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4" w:name="_Toc15377207"/>
      <w:bookmarkStart w:id="35" w:name="_Toc15396605"/>
      <w:r>
        <w:rPr>
          <w:rStyle w:val="26"/>
          <w:rFonts w:ascii="黑体" w:hAnsi="黑体" w:eastAsia="黑体"/>
          <w:b w:val="0"/>
        </w:rPr>
        <w:t>三</w:t>
      </w:r>
      <w:r>
        <w:rPr>
          <w:rStyle w:val="26"/>
          <w:rFonts w:hint="eastAsia" w:ascii="黑体" w:hAnsi="黑体" w:eastAsia="黑体"/>
          <w:b w:val="0"/>
        </w:rPr>
        <w:t>、</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34"/>
      <w:bookmarkEnd w:id="3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458.94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300.36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65.45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158.58</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34.55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314325</wp:posOffset>
            </wp:positionH>
            <wp:positionV relativeFrom="paragraph">
              <wp:posOffset>647700</wp:posOffset>
            </wp:positionV>
            <wp:extent cx="4912360" cy="2305050"/>
            <wp:effectExtent l="4445" t="4445" r="17145" b="1460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6" w:name="_Toc15396606"/>
      <w:bookmarkStart w:id="37"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6"/>
      <w:bookmarkEnd w:id="37"/>
    </w:p>
    <w:p>
      <w:pPr>
        <w:snapToGrid w:val="0"/>
        <w:spacing w:line="576" w:lineRule="exact"/>
        <w:ind w:left="640"/>
        <w:rPr>
          <w:rFonts w:ascii="仿宋_GB2312" w:hAnsi="仿宋" w:eastAsia="仿宋_GB2312"/>
          <w:sz w:val="32"/>
          <w:szCs w:val="32"/>
        </w:rPr>
      </w:pPr>
      <w:r>
        <w:rPr>
          <w:rFonts w:hint="eastAsia" w:ascii="仿宋_GB2312" w:hAnsi="仿宋" w:eastAsia="仿宋_GB2312"/>
          <w:sz w:val="32"/>
          <w:szCs w:val="32"/>
        </w:rPr>
        <w:t>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年度收、支总计</w:t>
      </w:r>
      <w:r>
        <w:rPr>
          <w:rFonts w:hint="eastAsia" w:ascii="仿宋_GB2312" w:hAnsi="仿宋" w:eastAsia="仿宋_GB2312"/>
          <w:sz w:val="32"/>
          <w:szCs w:val="32"/>
          <w:lang w:val="en-US" w:eastAsia="zh-CN"/>
        </w:rPr>
        <w:t>458.94万元，343.72</w:t>
      </w:r>
      <w:r>
        <w:rPr>
          <w:rFonts w:hint="eastAsia" w:ascii="仿宋_GB2312" w:hAnsi="仿宋" w:eastAsia="仿宋_GB2312"/>
          <w:sz w:val="32"/>
          <w:szCs w:val="32"/>
        </w:rPr>
        <w:t>万元，与20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年相比</w:t>
      </w:r>
      <w:r>
        <w:rPr>
          <w:rFonts w:hint="eastAsia" w:ascii="仿宋_GB2312" w:hAnsi="仿宋" w:eastAsia="仿宋_GB2312"/>
          <w:sz w:val="32"/>
          <w:szCs w:val="32"/>
          <w:lang w:val="en-US" w:eastAsia="zh-CN"/>
        </w:rPr>
        <w:t>增加115.22</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增加33.52</w:t>
      </w:r>
      <w:r>
        <w:rPr>
          <w:rFonts w:hint="eastAsia" w:ascii="仿宋_GB2312" w:hAnsi="仿宋" w:eastAsia="仿宋_GB2312"/>
          <w:sz w:val="32"/>
          <w:szCs w:val="32"/>
        </w:rPr>
        <w:t>%。主要变动原因是</w:t>
      </w:r>
      <w:r>
        <w:rPr>
          <w:rFonts w:hint="eastAsia" w:ascii="仿宋_GB2312" w:hAnsi="仿宋" w:eastAsia="仿宋_GB2312"/>
          <w:sz w:val="32"/>
          <w:szCs w:val="32"/>
          <w:lang w:val="en-US" w:eastAsia="zh-CN"/>
        </w:rPr>
        <w:t>较上年项目增加</w:t>
      </w:r>
      <w:r>
        <w:rPr>
          <w:rFonts w:hint="eastAsia" w:ascii="仿宋_GB2312" w:hAnsi="仿宋" w:eastAsia="仿宋_GB2312"/>
          <w:sz w:val="32"/>
          <w:szCs w:val="32"/>
        </w:rPr>
        <w:t>。</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0</wp:posOffset>
            </wp:positionH>
            <wp:positionV relativeFrom="paragraph">
              <wp:posOffset>541020</wp:posOffset>
            </wp:positionV>
            <wp:extent cx="5105400" cy="1914525"/>
            <wp:effectExtent l="4445" t="4445" r="14605" b="5080"/>
            <wp:wrapSquare wrapText="bothSides"/>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14:textFill>
            <w14:solidFill>
              <w14:schemeClr w14:val="tx1"/>
            </w14:solidFill>
          </w14:textFill>
        </w:rPr>
        <w:t>图4：财政拨款收、支决算总计变动情况</w:t>
      </w:r>
      <w:bookmarkStart w:id="38" w:name="_Toc15396607"/>
      <w:bookmarkStart w:id="39" w:name="_Toc15377209"/>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8"/>
      <w:bookmarkEnd w:id="39"/>
    </w:p>
    <w:p>
      <w:pPr>
        <w:spacing w:line="600" w:lineRule="exact"/>
        <w:ind w:firstLine="643" w:firstLineChars="200"/>
        <w:outlineLvl w:val="2"/>
        <w:rPr>
          <w:rFonts w:ascii="仿宋" w:hAnsi="仿宋" w:eastAsia="仿宋"/>
          <w:b/>
          <w:color w:val="000000"/>
          <w:sz w:val="32"/>
          <w:szCs w:val="32"/>
        </w:rPr>
      </w:pPr>
      <w:bookmarkStart w:id="40" w:name="_Toc15377210"/>
      <w:r>
        <w:rPr>
          <w:rFonts w:hint="eastAsia" w:ascii="仿宋" w:hAnsi="仿宋" w:eastAsia="仿宋"/>
          <w:b/>
          <w:color w:val="000000"/>
          <w:sz w:val="32"/>
          <w:szCs w:val="32"/>
        </w:rPr>
        <w:t>（一）一般公共预算财政拨款支出决算总体情况</w:t>
      </w:r>
      <w:bookmarkEnd w:id="40"/>
    </w:p>
    <w:p>
      <w:pPr>
        <w:snapToGrid w:val="0"/>
        <w:spacing w:line="576" w:lineRule="exact"/>
        <w:ind w:left="640"/>
        <w:rPr>
          <w:rFonts w:ascii="仿宋_GB2312" w:hAnsi="仿宋" w:eastAsia="仿宋_GB2312"/>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458.94</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w:t>
      </w:r>
      <w:r>
        <w:rPr>
          <w:rFonts w:hint="eastAsia" w:ascii="仿宋_GB2312" w:hAnsi="仿宋" w:eastAsia="仿宋_GB2312"/>
          <w:sz w:val="32"/>
          <w:szCs w:val="32"/>
          <w:lang w:val="en-US" w:eastAsia="zh-CN"/>
        </w:rPr>
        <w:t>增加115.22</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增加33.52</w:t>
      </w:r>
      <w:r>
        <w:rPr>
          <w:rFonts w:hint="eastAsia" w:ascii="仿宋_GB2312" w:hAnsi="仿宋" w:eastAsia="仿宋_GB2312"/>
          <w:sz w:val="32"/>
          <w:szCs w:val="32"/>
        </w:rPr>
        <w:t>%</w:t>
      </w:r>
      <w:r>
        <w:rPr>
          <w:rFonts w:hint="eastAsia" w:ascii="仿宋" w:hAnsi="仿宋" w:eastAsia="仿宋"/>
          <w:color w:val="000000"/>
          <w:sz w:val="32"/>
          <w:szCs w:val="32"/>
        </w:rPr>
        <w:t>。</w:t>
      </w:r>
      <w:r>
        <w:rPr>
          <w:rFonts w:hint="eastAsia" w:ascii="仿宋_GB2312" w:hAnsi="仿宋" w:eastAsia="仿宋_GB2312"/>
          <w:sz w:val="32"/>
          <w:szCs w:val="32"/>
        </w:rPr>
        <w:t>主要变动原因是</w:t>
      </w:r>
      <w:r>
        <w:rPr>
          <w:rFonts w:hint="eastAsia" w:ascii="仿宋_GB2312" w:hAnsi="仿宋" w:eastAsia="仿宋_GB2312"/>
          <w:sz w:val="32"/>
          <w:szCs w:val="32"/>
          <w:lang w:val="en-US" w:eastAsia="zh-CN"/>
        </w:rPr>
        <w:t>较上年项目增加</w:t>
      </w:r>
      <w:r>
        <w:rPr>
          <w:rFonts w:hint="eastAsia" w:ascii="仿宋_GB2312" w:hAnsi="仿宋" w:eastAsia="仿宋_GB2312"/>
          <w:sz w:val="32"/>
          <w:szCs w:val="32"/>
        </w:rPr>
        <w:t>。</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104775</wp:posOffset>
            </wp:positionH>
            <wp:positionV relativeFrom="paragraph">
              <wp:posOffset>537210</wp:posOffset>
            </wp:positionV>
            <wp:extent cx="5105400" cy="1924050"/>
            <wp:effectExtent l="4445" t="4445" r="14605" b="14605"/>
            <wp:wrapSquare wrapText="bothSides"/>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41" w:name="_Toc15377211"/>
      <w:r>
        <w:rPr>
          <w:rFonts w:hint="eastAsia" w:ascii="仿宋" w:hAnsi="仿宋" w:eastAsia="仿宋"/>
          <w:b/>
          <w:color w:val="000000"/>
          <w:sz w:val="32"/>
          <w:szCs w:val="32"/>
        </w:rPr>
        <w:t>（二）一般公共预算财政拨款支出决算结构情况</w:t>
      </w:r>
      <w:bookmarkEnd w:id="41"/>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458.94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文化旅游体育与传媒支出</w:t>
      </w:r>
      <w:r>
        <w:rPr>
          <w:rFonts w:hint="eastAsia" w:ascii="仿宋" w:hAnsi="仿宋" w:eastAsia="仿宋"/>
          <w:bCs/>
          <w:color w:val="000000" w:themeColor="text1"/>
          <w:sz w:val="32"/>
          <w:szCs w:val="32"/>
          <w14:textFill>
            <w14:solidFill>
              <w14:schemeClr w14:val="tx1"/>
            </w14:solidFill>
          </w14:textFill>
        </w:rPr>
        <w:t>0万元，占0</w:t>
      </w:r>
      <w:r>
        <w:rPr>
          <w:rFonts w:ascii="仿宋" w:hAnsi="仿宋" w:eastAsia="仿宋"/>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w:t>
      </w:r>
      <w:r>
        <w:rPr>
          <w:rFonts w:hint="eastAsia" w:ascii="仿宋" w:hAnsi="仿宋" w:eastAsia="仿宋"/>
          <w:color w:val="000000" w:themeColor="text1"/>
          <w:sz w:val="32"/>
          <w:szCs w:val="32"/>
          <w:lang w:val="en-US" w:eastAsia="zh-CN"/>
          <w14:textFill>
            <w14:solidFill>
              <w14:schemeClr w14:val="tx1"/>
            </w14:solidFill>
          </w14:textFill>
        </w:rPr>
        <w:t>429.26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93.5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12.43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17.25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276860</wp:posOffset>
            </wp:positionH>
            <wp:positionV relativeFrom="paragraph">
              <wp:posOffset>200025</wp:posOffset>
            </wp:positionV>
            <wp:extent cx="5067300" cy="2457450"/>
            <wp:effectExtent l="4445" t="4445" r="1460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hAnsi="仿宋" w:eastAsia="仿宋"/>
          <w:b/>
          <w:color w:val="000000"/>
          <w:sz w:val="32"/>
          <w:szCs w:val="32"/>
        </w:rPr>
      </w:pPr>
      <w:bookmarkStart w:id="42" w:name="_Toc15377212"/>
      <w:r>
        <w:rPr>
          <w:rFonts w:hint="eastAsia" w:ascii="仿宋" w:hAnsi="仿宋" w:eastAsia="仿宋"/>
          <w:b/>
          <w:color w:val="000000"/>
          <w:sz w:val="32"/>
          <w:szCs w:val="32"/>
        </w:rPr>
        <w:t>（三）一般公共预算财政拨款支出决算具体情况</w:t>
      </w:r>
      <w:bookmarkEnd w:id="42"/>
    </w:p>
    <w:p>
      <w:pPr>
        <w:spacing w:line="600" w:lineRule="exact"/>
        <w:ind w:firstLine="643" w:firstLineChars="200"/>
        <w:outlineLvl w:val="2"/>
        <w:rPr>
          <w:rFonts w:ascii="仿宋" w:hAnsi="仿宋" w:eastAsia="仿宋"/>
          <w:color w:val="FF0000"/>
          <w:sz w:val="32"/>
          <w:szCs w:val="32"/>
        </w:rPr>
      </w:pPr>
      <w:bookmarkStart w:id="43" w:name="_Toc15378460"/>
      <w:bookmarkStart w:id="44" w:name="_Toc15377213"/>
      <w:bookmarkStart w:id="45" w:name="_Toc15377444"/>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21</w:t>
      </w:r>
      <w:r>
        <w:rPr>
          <w:rFonts w:hint="eastAsia" w:ascii="仿宋" w:hAnsi="仿宋" w:eastAsia="仿宋"/>
          <w:b/>
          <w:color w:val="000000" w:themeColor="text1"/>
          <w:sz w:val="32"/>
          <w:szCs w:val="32"/>
          <w14:textFill>
            <w14:solidFill>
              <w14:schemeClr w14:val="tx1"/>
            </w14:solidFill>
          </w14:textFill>
        </w:rPr>
        <w:t>年一般公共预算支出决算数为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458.94</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43"/>
      <w:bookmarkEnd w:id="44"/>
      <w:bookmarkEnd w:id="45"/>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1</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社会保障和就业支出（208）行政</w:t>
      </w:r>
      <w:r>
        <w:rPr>
          <w:rStyle w:val="14"/>
          <w:rFonts w:ascii="仿宋" w:hAnsi="仿宋" w:eastAsia="仿宋"/>
          <w:bCs/>
          <w:color w:val="000000"/>
          <w:sz w:val="32"/>
          <w:szCs w:val="32"/>
        </w:rPr>
        <w:t>事业单位单位离退休</w:t>
      </w:r>
      <w:r>
        <w:rPr>
          <w:rStyle w:val="14"/>
          <w:rFonts w:hint="eastAsia" w:ascii="仿宋" w:hAnsi="仿宋" w:eastAsia="仿宋"/>
          <w:bCs/>
          <w:color w:val="000000"/>
          <w:sz w:val="32"/>
          <w:szCs w:val="32"/>
        </w:rPr>
        <w:t>（05机关事业单位</w:t>
      </w:r>
      <w:r>
        <w:rPr>
          <w:rStyle w:val="14"/>
          <w:rFonts w:ascii="仿宋" w:hAnsi="仿宋" w:eastAsia="仿宋"/>
          <w:bCs/>
          <w:color w:val="000000"/>
          <w:sz w:val="32"/>
          <w:szCs w:val="32"/>
        </w:rPr>
        <w:t>基本养老保险缴费支出</w:t>
      </w:r>
      <w:r>
        <w:rPr>
          <w:rStyle w:val="14"/>
          <w:rFonts w:hint="eastAsia" w:ascii="仿宋" w:hAnsi="仿宋" w:eastAsia="仿宋"/>
          <w:bCs/>
          <w:color w:val="000000"/>
          <w:sz w:val="32"/>
          <w:szCs w:val="32"/>
        </w:rPr>
        <w:t>（05）</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15.84</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社会保障和就业支出（208）行政</w:t>
      </w:r>
      <w:r>
        <w:rPr>
          <w:rStyle w:val="14"/>
          <w:rFonts w:ascii="仿宋" w:hAnsi="仿宋" w:eastAsia="仿宋"/>
          <w:bCs/>
          <w:color w:val="000000"/>
          <w:sz w:val="32"/>
          <w:szCs w:val="32"/>
        </w:rPr>
        <w:t>事业单位单位离退休</w:t>
      </w:r>
      <w:r>
        <w:rPr>
          <w:rStyle w:val="14"/>
          <w:rFonts w:hint="eastAsia" w:ascii="仿宋" w:hAnsi="仿宋" w:eastAsia="仿宋"/>
          <w:bCs/>
          <w:color w:val="000000"/>
          <w:sz w:val="32"/>
          <w:szCs w:val="32"/>
        </w:rPr>
        <w:t>（05）机关事业单位职业年金</w:t>
      </w:r>
      <w:r>
        <w:rPr>
          <w:rStyle w:val="14"/>
          <w:rFonts w:ascii="仿宋" w:hAnsi="仿宋" w:eastAsia="仿宋"/>
          <w:bCs/>
          <w:color w:val="000000"/>
          <w:sz w:val="32"/>
          <w:szCs w:val="32"/>
        </w:rPr>
        <w:t>缴费支出</w:t>
      </w:r>
      <w:r>
        <w:rPr>
          <w:rStyle w:val="14"/>
          <w:rFonts w:hint="eastAsia" w:ascii="仿宋" w:hAnsi="仿宋" w:eastAsia="仿宋"/>
          <w:bCs/>
          <w:color w:val="000000"/>
          <w:sz w:val="32"/>
          <w:szCs w:val="32"/>
        </w:rPr>
        <w:t>（06）</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7.44</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社会保障和就业支出（208）红十字事业（16）行政运行（01）</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247.4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社会保障和就业支出（208）红十字事业（16）一般行政管理事务（02）</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158.58</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2</w:t>
      </w:r>
      <w:r>
        <w:rPr>
          <w:rStyle w:val="1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卫生健康支出</w:t>
      </w:r>
      <w:r>
        <w:rPr>
          <w:rStyle w:val="14"/>
          <w:rFonts w:hint="eastAsia" w:ascii="仿宋" w:hAnsi="仿宋" w:eastAsia="仿宋"/>
          <w:bCs/>
          <w:color w:val="000000"/>
          <w:sz w:val="32"/>
          <w:szCs w:val="32"/>
        </w:rPr>
        <w:t>（210）行政</w:t>
      </w:r>
      <w:r>
        <w:rPr>
          <w:rStyle w:val="14"/>
          <w:rFonts w:ascii="仿宋" w:hAnsi="仿宋" w:eastAsia="仿宋"/>
          <w:bCs/>
          <w:color w:val="000000"/>
          <w:sz w:val="32"/>
          <w:szCs w:val="32"/>
        </w:rPr>
        <w:t>事业单位医疗</w:t>
      </w:r>
      <w:r>
        <w:rPr>
          <w:rStyle w:val="14"/>
          <w:rFonts w:hint="eastAsia" w:ascii="仿宋" w:hAnsi="仿宋" w:eastAsia="仿宋"/>
          <w:bCs/>
          <w:color w:val="000000"/>
          <w:sz w:val="32"/>
          <w:szCs w:val="32"/>
        </w:rPr>
        <w:t>（11）行政单位医疗（01）</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10.22</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卫生健康支出</w:t>
      </w:r>
      <w:r>
        <w:rPr>
          <w:rStyle w:val="14"/>
          <w:rFonts w:hint="eastAsia" w:ascii="仿宋" w:hAnsi="仿宋" w:eastAsia="仿宋"/>
          <w:bCs/>
          <w:color w:val="000000"/>
          <w:sz w:val="32"/>
          <w:szCs w:val="32"/>
        </w:rPr>
        <w:t>（210）行政</w:t>
      </w:r>
      <w:r>
        <w:rPr>
          <w:rStyle w:val="14"/>
          <w:rFonts w:ascii="仿宋" w:hAnsi="仿宋" w:eastAsia="仿宋"/>
          <w:bCs/>
          <w:color w:val="000000"/>
          <w:sz w:val="32"/>
          <w:szCs w:val="32"/>
        </w:rPr>
        <w:t>事业单位医疗</w:t>
      </w:r>
      <w:r>
        <w:rPr>
          <w:rStyle w:val="14"/>
          <w:rFonts w:hint="eastAsia" w:ascii="仿宋" w:hAnsi="仿宋" w:eastAsia="仿宋"/>
          <w:bCs/>
          <w:color w:val="000000"/>
          <w:sz w:val="32"/>
          <w:szCs w:val="32"/>
        </w:rPr>
        <w:t>（11）公务员医疗补助（03）</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2.21</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3.住房保障支出（221）住房改革支出(02)住房公积金（01）：</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17.25</w:t>
      </w:r>
      <w:r>
        <w:rPr>
          <w:rStyle w:val="14"/>
          <w:rFonts w:hint="eastAsia" w:ascii="仿宋" w:hAnsi="仿宋" w:eastAsia="仿宋"/>
          <w:b w:val="0"/>
          <w:bCs/>
          <w:color w:val="000000"/>
          <w:sz w:val="32"/>
          <w:szCs w:val="32"/>
        </w:rPr>
        <w:t>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6" w:name="_Toc15396608"/>
      <w:bookmarkStart w:id="4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6"/>
      <w:bookmarkEnd w:id="47"/>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300.36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248.53</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42.88</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111.02</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3.55</w:t>
      </w:r>
      <w:r>
        <w:rPr>
          <w:rFonts w:hint="eastAsia" w:ascii="仿宋" w:hAnsi="仿宋" w:eastAsia="仿宋"/>
          <w:color w:val="000000"/>
          <w:sz w:val="32"/>
          <w:szCs w:val="32"/>
        </w:rPr>
        <w:t>万元、伙食补助费</w:t>
      </w:r>
      <w:r>
        <w:rPr>
          <w:rFonts w:hint="eastAsia" w:ascii="仿宋" w:hAnsi="仿宋" w:eastAsia="仿宋"/>
          <w:color w:val="000000"/>
          <w:sz w:val="32"/>
          <w:szCs w:val="32"/>
          <w:lang w:val="en-US" w:eastAsia="zh-CN"/>
        </w:rPr>
        <w:t>7.23</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15.84</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7.44</w:t>
      </w:r>
      <w:r>
        <w:rPr>
          <w:rFonts w:hint="eastAsia" w:ascii="仿宋" w:hAnsi="仿宋" w:eastAsia="仿宋"/>
          <w:color w:val="000000"/>
          <w:sz w:val="32"/>
          <w:szCs w:val="32"/>
        </w:rPr>
        <w:t>万元、职工基本医疗保险缴费</w:t>
      </w:r>
      <w:r>
        <w:rPr>
          <w:rFonts w:hint="eastAsia" w:ascii="仿宋" w:hAnsi="仿宋" w:eastAsia="仿宋"/>
          <w:color w:val="000000"/>
          <w:sz w:val="32"/>
          <w:szCs w:val="32"/>
          <w:lang w:val="en-US" w:eastAsia="zh-CN"/>
        </w:rPr>
        <w:t>10.22</w:t>
      </w:r>
      <w:r>
        <w:rPr>
          <w:rFonts w:hint="eastAsia" w:ascii="仿宋" w:hAnsi="仿宋" w:eastAsia="仿宋"/>
          <w:color w:val="000000"/>
          <w:sz w:val="32"/>
          <w:szCs w:val="32"/>
        </w:rPr>
        <w:t>万元、公务员医疗补助缴费</w:t>
      </w:r>
      <w:r>
        <w:rPr>
          <w:rFonts w:hint="eastAsia" w:ascii="仿宋" w:hAnsi="仿宋" w:eastAsia="仿宋"/>
          <w:color w:val="000000"/>
          <w:sz w:val="32"/>
          <w:szCs w:val="32"/>
          <w:lang w:val="en-US" w:eastAsia="zh-CN"/>
        </w:rPr>
        <w:t>2.21</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4.89</w:t>
      </w:r>
      <w:r>
        <w:rPr>
          <w:rFonts w:hint="eastAsia" w:ascii="仿宋" w:hAnsi="仿宋" w:eastAsia="仿宋"/>
          <w:color w:val="000000"/>
          <w:sz w:val="32"/>
          <w:szCs w:val="32"/>
        </w:rPr>
        <w:t>万元、住房公积金</w:t>
      </w:r>
      <w:r>
        <w:rPr>
          <w:rFonts w:hint="eastAsia" w:ascii="仿宋" w:hAnsi="仿宋" w:eastAsia="仿宋"/>
          <w:color w:val="000000"/>
          <w:sz w:val="32"/>
          <w:szCs w:val="32"/>
          <w:lang w:val="en-US" w:eastAsia="zh-CN"/>
        </w:rPr>
        <w:t>17.25</w:t>
      </w:r>
      <w:r>
        <w:rPr>
          <w:rFonts w:hint="eastAsia" w:ascii="仿宋" w:hAnsi="仿宋" w:eastAsia="仿宋"/>
          <w:color w:val="000000"/>
          <w:sz w:val="32"/>
          <w:szCs w:val="32"/>
        </w:rPr>
        <w:t>万元、其他工资福利支出</w:t>
      </w:r>
      <w:r>
        <w:rPr>
          <w:rFonts w:hint="eastAsia" w:ascii="仿宋" w:hAnsi="仿宋" w:eastAsia="仿宋"/>
          <w:color w:val="000000"/>
          <w:sz w:val="32"/>
          <w:szCs w:val="32"/>
          <w:lang w:val="en-US" w:eastAsia="zh-CN"/>
        </w:rPr>
        <w:t>26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42.93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7.42</w:t>
      </w:r>
      <w:r>
        <w:rPr>
          <w:rFonts w:hint="eastAsia" w:ascii="仿宋" w:hAnsi="仿宋" w:eastAsia="仿宋"/>
          <w:color w:val="000000"/>
          <w:sz w:val="32"/>
          <w:szCs w:val="32"/>
        </w:rPr>
        <w:t>万元、水费</w:t>
      </w:r>
      <w:r>
        <w:rPr>
          <w:rFonts w:hint="eastAsia" w:ascii="仿宋" w:hAnsi="仿宋" w:eastAsia="仿宋"/>
          <w:color w:val="000000"/>
          <w:sz w:val="32"/>
          <w:szCs w:val="32"/>
          <w:lang w:val="en-US" w:eastAsia="zh-CN"/>
        </w:rPr>
        <w:t>0.24</w:t>
      </w:r>
      <w:r>
        <w:rPr>
          <w:rFonts w:hint="eastAsia" w:ascii="仿宋" w:hAnsi="仿宋" w:eastAsia="仿宋"/>
          <w:color w:val="000000"/>
          <w:sz w:val="32"/>
          <w:szCs w:val="32"/>
        </w:rPr>
        <w:t>万元、电费</w:t>
      </w:r>
      <w:r>
        <w:rPr>
          <w:rFonts w:hint="eastAsia" w:ascii="仿宋" w:hAnsi="仿宋" w:eastAsia="仿宋"/>
          <w:color w:val="000000"/>
          <w:sz w:val="32"/>
          <w:szCs w:val="32"/>
          <w:lang w:val="en-US" w:eastAsia="zh-CN"/>
        </w:rPr>
        <w:t>1.54</w:t>
      </w:r>
      <w:r>
        <w:rPr>
          <w:rFonts w:hint="eastAsia" w:ascii="仿宋" w:hAnsi="仿宋" w:eastAsia="仿宋"/>
          <w:color w:val="000000"/>
          <w:sz w:val="32"/>
          <w:szCs w:val="32"/>
        </w:rPr>
        <w:t>万元、物业管理费</w:t>
      </w:r>
      <w:r>
        <w:rPr>
          <w:rFonts w:hint="eastAsia" w:ascii="仿宋" w:hAnsi="仿宋" w:eastAsia="仿宋"/>
          <w:color w:val="000000"/>
          <w:sz w:val="32"/>
          <w:szCs w:val="32"/>
          <w:lang w:val="en-US" w:eastAsia="zh-CN"/>
        </w:rPr>
        <w:t>8.02</w:t>
      </w:r>
      <w:r>
        <w:rPr>
          <w:rFonts w:hint="eastAsia" w:ascii="仿宋" w:hAnsi="仿宋" w:eastAsia="仿宋"/>
          <w:color w:val="000000"/>
          <w:sz w:val="32"/>
          <w:szCs w:val="32"/>
        </w:rPr>
        <w:t>万元、差旅费</w:t>
      </w:r>
      <w:r>
        <w:rPr>
          <w:rFonts w:hint="eastAsia" w:ascii="仿宋" w:hAnsi="仿宋" w:eastAsia="仿宋"/>
          <w:color w:val="000000"/>
          <w:sz w:val="32"/>
          <w:szCs w:val="32"/>
          <w:lang w:val="en-US" w:eastAsia="zh-CN"/>
        </w:rPr>
        <w:t>9.24</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维修（护）费0.03万元、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0.99</w:t>
      </w:r>
      <w:r>
        <w:rPr>
          <w:rFonts w:hint="eastAsia" w:ascii="仿宋" w:hAnsi="仿宋" w:eastAsia="仿宋"/>
          <w:color w:val="000000"/>
          <w:sz w:val="32"/>
          <w:szCs w:val="32"/>
        </w:rPr>
        <w:t>万元、公务接待费</w:t>
      </w:r>
      <w:r>
        <w:rPr>
          <w:rFonts w:hint="eastAsia" w:ascii="仿宋" w:hAnsi="仿宋" w:eastAsia="仿宋"/>
          <w:color w:val="000000"/>
          <w:sz w:val="32"/>
          <w:szCs w:val="32"/>
          <w:lang w:val="en-US" w:eastAsia="zh-CN"/>
        </w:rPr>
        <w:t>0.11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福利费1.94万元、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11.92</w:t>
      </w:r>
      <w:r>
        <w:rPr>
          <w:rFonts w:hint="eastAsia" w:ascii="仿宋" w:hAnsi="仿宋" w:eastAsia="仿宋"/>
          <w:color w:val="000000"/>
          <w:sz w:val="32"/>
          <w:szCs w:val="32"/>
        </w:rPr>
        <w:t>万元、其他商品和服务支出</w:t>
      </w:r>
      <w:r>
        <w:rPr>
          <w:rFonts w:hint="eastAsia" w:ascii="仿宋" w:hAnsi="仿宋" w:eastAsia="仿宋"/>
          <w:color w:val="000000"/>
          <w:sz w:val="32"/>
          <w:szCs w:val="32"/>
          <w:lang w:val="en-US" w:eastAsia="zh-CN"/>
        </w:rPr>
        <w:t>1.48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对家庭和个人补助8.9万元，生活补助8.37万元、其他对个人和家庭补助0.53万元。       </w:t>
      </w:r>
    </w:p>
    <w:p>
      <w:pPr>
        <w:spacing w:line="600" w:lineRule="exact"/>
        <w:ind w:firstLine="640"/>
        <w:outlineLvl w:val="1"/>
        <w:rPr>
          <w:rStyle w:val="26"/>
          <w:rFonts w:ascii="黑体" w:hAnsi="黑体" w:eastAsia="黑体"/>
          <w:b w:val="0"/>
        </w:rPr>
      </w:pPr>
      <w:bookmarkStart w:id="48" w:name="_Toc15396609"/>
      <w:bookmarkStart w:id="49"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8"/>
      <w:bookmarkEnd w:id="49"/>
    </w:p>
    <w:p>
      <w:pPr>
        <w:spacing w:line="600" w:lineRule="exact"/>
        <w:ind w:firstLine="640"/>
        <w:outlineLvl w:val="2"/>
        <w:rPr>
          <w:rFonts w:ascii="仿宋" w:hAnsi="仿宋" w:eastAsia="仿宋"/>
          <w:b/>
          <w:color w:val="000000"/>
          <w:sz w:val="32"/>
          <w:szCs w:val="32"/>
        </w:rPr>
      </w:pPr>
      <w:bookmarkStart w:id="50" w:name="_Toc15377216"/>
      <w:r>
        <w:rPr>
          <w:rFonts w:hint="eastAsia" w:ascii="仿宋" w:hAnsi="仿宋" w:eastAsia="仿宋"/>
          <w:b/>
          <w:color w:val="000000"/>
          <w:sz w:val="32"/>
          <w:szCs w:val="32"/>
        </w:rPr>
        <w:t>（一）“三公”经费财政拨款支出决算总体情况说明</w:t>
      </w:r>
      <w:bookmarkEnd w:id="50"/>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15.02</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51" w:name="_Toc15377217"/>
      <w:r>
        <w:rPr>
          <w:rFonts w:hint="eastAsia" w:ascii="仿宋" w:hAnsi="仿宋" w:eastAsia="仿宋"/>
          <w:b/>
          <w:color w:val="000000"/>
          <w:sz w:val="32"/>
          <w:szCs w:val="32"/>
        </w:rPr>
        <w:t>（二）“三公”经费财政拨款支出决算具体情况说明</w:t>
      </w:r>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14.91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99.27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drawing>
          <wp:anchor distT="0" distB="0" distL="114300" distR="114300" simplePos="0" relativeHeight="251665408" behindDoc="0" locked="0" layoutInCell="1" allowOverlap="1">
            <wp:simplePos x="0" y="0"/>
            <wp:positionH relativeFrom="column">
              <wp:posOffset>371475</wp:posOffset>
            </wp:positionH>
            <wp:positionV relativeFrom="paragraph">
              <wp:posOffset>114300</wp:posOffset>
            </wp:positionV>
            <wp:extent cx="4743450" cy="1905000"/>
            <wp:effectExtent l="4445" t="4445" r="1460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_GB2312" w:eastAsia="仿宋_GB2312"/>
          <w:b/>
          <w:color w:val="000000"/>
          <w:sz w:val="32"/>
          <w:szCs w:val="32"/>
        </w:rPr>
        <w:t>1</w:t>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15.02</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减少3.28</w:t>
      </w:r>
      <w:r>
        <w:rPr>
          <w:rFonts w:hint="eastAsia" w:ascii="仿宋_GB2312" w:eastAsia="仿宋_GB2312"/>
          <w:color w:val="000000"/>
          <w:sz w:val="32"/>
          <w:szCs w:val="32"/>
        </w:rPr>
        <w:t>万元。主要原因是</w:t>
      </w:r>
      <w:r>
        <w:rPr>
          <w:rFonts w:hint="eastAsia" w:ascii="仿宋_GB2312" w:eastAsia="仿宋_GB2312"/>
          <w:color w:val="000000"/>
          <w:sz w:val="32"/>
          <w:szCs w:val="32"/>
          <w:lang w:val="en-US" w:eastAsia="zh-CN"/>
        </w:rPr>
        <w:t>2020年车辆有大修情况</w:t>
      </w:r>
      <w:r>
        <w:rPr>
          <w:rFonts w:hint="eastAsia" w:ascii="仿宋_GB2312" w:eastAsia="仿宋_GB2312"/>
          <w:color w:val="000000"/>
          <w:sz w:val="32"/>
          <w:szCs w:val="32"/>
        </w:rPr>
        <w:t>。其中：</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月底，单位共有公务用车4辆，其中：机要通信用车1辆、应急保障用车1辆、 其他用车2辆(已无法正常使用)。</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15.02</w:t>
      </w:r>
      <w:r>
        <w:rPr>
          <w:rFonts w:hint="eastAsia" w:ascii="仿宋_GB2312" w:eastAsia="仿宋_GB2312"/>
          <w:color w:val="000000"/>
          <w:sz w:val="32"/>
          <w:szCs w:val="32"/>
        </w:rPr>
        <w:t>万元。主要用于救灾、救助、救护及“三献”工作等所需的公务用车燃料费、维修费、过路过桥费、保险费等支出。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减少0.54</w:t>
      </w:r>
      <w:r>
        <w:rPr>
          <w:rFonts w:hint="eastAsia" w:ascii="仿宋_GB2312" w:eastAsia="仿宋_GB2312"/>
          <w:color w:val="000000"/>
          <w:sz w:val="32"/>
          <w:szCs w:val="32"/>
        </w:rPr>
        <w:t>万元。主要原因是</w:t>
      </w:r>
      <w:r>
        <w:rPr>
          <w:rFonts w:hint="eastAsia" w:ascii="仿宋_GB2312" w:eastAsia="仿宋_GB2312"/>
          <w:color w:val="000000"/>
          <w:sz w:val="32"/>
          <w:szCs w:val="32"/>
          <w:lang w:val="en-US" w:eastAsia="zh-CN"/>
        </w:rPr>
        <w:t>压减三公经费支出</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0.11</w:t>
      </w:r>
      <w:r>
        <w:rPr>
          <w:rFonts w:hint="eastAsia" w:ascii="仿宋_GB2312" w:eastAsia="仿宋_GB2312"/>
          <w:color w:val="000000"/>
          <w:sz w:val="32"/>
          <w:szCs w:val="32"/>
        </w:rPr>
        <w:t>万元。</w:t>
      </w:r>
    </w:p>
    <w:p>
      <w:pPr>
        <w:spacing w:line="600" w:lineRule="exact"/>
        <w:ind w:firstLine="640"/>
        <w:outlineLvl w:val="1"/>
        <w:rPr>
          <w:rStyle w:val="26"/>
          <w:rFonts w:ascii="黑体" w:hAnsi="黑体" w:eastAsia="黑体"/>
        </w:rPr>
      </w:pPr>
      <w:bookmarkStart w:id="52" w:name="_Toc15377218"/>
      <w:bookmarkStart w:id="53"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年无政府性基金预算拨款支出。</w:t>
      </w:r>
    </w:p>
    <w:p>
      <w:pPr>
        <w:numPr>
          <w:ilvl w:val="0"/>
          <w:numId w:val="3"/>
        </w:numPr>
        <w:spacing w:line="600" w:lineRule="exact"/>
        <w:ind w:firstLine="640"/>
        <w:outlineLvl w:val="1"/>
        <w:rPr>
          <w:rStyle w:val="26"/>
          <w:rFonts w:ascii="黑体" w:hAnsi="黑体" w:eastAsia="黑体"/>
          <w:b w:val="0"/>
        </w:rPr>
      </w:pPr>
      <w:bookmarkStart w:id="54" w:name="_Toc15396611"/>
      <w:bookmarkStart w:id="55" w:name="_Toc15377219"/>
      <w:r>
        <w:rPr>
          <w:rStyle w:val="26"/>
          <w:rFonts w:hint="eastAsia" w:ascii="黑体" w:hAnsi="黑体" w:eastAsia="黑体"/>
          <w:b w:val="0"/>
        </w:rPr>
        <w:t>国有资本经营预算支出决算情况说明</w:t>
      </w:r>
      <w:bookmarkEnd w:id="54"/>
      <w:bookmarkEnd w:id="5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年无国有资本经营预算拨款支出。</w:t>
      </w:r>
      <w:bookmarkStart w:id="56" w:name="_Toc15396612"/>
      <w:bookmarkStart w:id="57" w:name="_Toc15377221"/>
    </w:p>
    <w:p>
      <w:pPr>
        <w:spacing w:line="600" w:lineRule="exact"/>
        <w:ind w:firstLine="640"/>
        <w:rPr>
          <w:rStyle w:val="26"/>
          <w:rFonts w:ascii="仿宋_GB2312" w:hAnsi="Times New Roman" w:eastAsia="仿宋_GB2312" w:cs="Times New Roman"/>
          <w:b w:val="0"/>
          <w:bCs w:val="0"/>
          <w:color w:val="000000"/>
        </w:rPr>
      </w:pPr>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6"/>
      <w:bookmarkEnd w:id="57"/>
    </w:p>
    <w:p>
      <w:pPr>
        <w:spacing w:line="600" w:lineRule="exact"/>
        <w:ind w:firstLine="643" w:firstLineChars="200"/>
        <w:outlineLvl w:val="2"/>
        <w:rPr>
          <w:rFonts w:ascii="仿宋" w:hAnsi="仿宋" w:eastAsia="仿宋"/>
          <w:color w:val="000000"/>
          <w:sz w:val="32"/>
          <w:szCs w:val="32"/>
        </w:rPr>
      </w:pPr>
      <w:bookmarkStart w:id="58" w:name="_Toc15377222"/>
      <w:r>
        <w:rPr>
          <w:rFonts w:hint="eastAsia" w:ascii="仿宋" w:hAnsi="仿宋" w:eastAsia="仿宋"/>
          <w:b/>
          <w:color w:val="000000"/>
          <w:sz w:val="32"/>
          <w:szCs w:val="32"/>
        </w:rPr>
        <w:t>（一）机关运行经费支出情况</w:t>
      </w:r>
      <w:bookmarkEnd w:id="58"/>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年，阿坝州</w:t>
      </w:r>
      <w:r>
        <w:rPr>
          <w:rFonts w:ascii="仿宋_GB2312" w:eastAsia="仿宋_GB2312"/>
          <w:color w:val="000000"/>
          <w:sz w:val="32"/>
          <w:szCs w:val="32"/>
        </w:rPr>
        <w:t>红十字会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42.93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增加5.1</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保障备灾中心及机关运行。</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9" w:name="_Toc15377223"/>
      <w:r>
        <w:rPr>
          <w:rFonts w:hint="eastAsia" w:ascii="仿宋" w:hAnsi="仿宋" w:eastAsia="仿宋"/>
          <w:b/>
          <w:color w:val="000000"/>
          <w:sz w:val="32"/>
          <w:szCs w:val="32"/>
        </w:rPr>
        <w:t>（二）政府采购支出情况</w:t>
      </w:r>
      <w:bookmarkEnd w:id="5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年，阿坝州红十字会政府采购支出总额</w:t>
      </w:r>
      <w:r>
        <w:rPr>
          <w:rFonts w:hint="eastAsia" w:ascii="仿宋_GB2312" w:eastAsia="仿宋_GB2312"/>
          <w:color w:val="000000"/>
          <w:sz w:val="32"/>
          <w:szCs w:val="32"/>
          <w:lang w:val="en-US" w:eastAsia="zh-CN"/>
        </w:rPr>
        <w:t>44.86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44.86</w:t>
      </w:r>
      <w:r>
        <w:rPr>
          <w:rFonts w:hint="eastAsia" w:ascii="仿宋_GB2312" w:eastAsia="仿宋_GB2312"/>
          <w:color w:val="000000"/>
          <w:sz w:val="32"/>
          <w:szCs w:val="32"/>
        </w:rPr>
        <w:t>万元、政府采购工程支出0万元、政府采购服务支出0万元。主要用于采购办公</w:t>
      </w:r>
      <w:r>
        <w:rPr>
          <w:rFonts w:ascii="仿宋_GB2312" w:eastAsia="仿宋_GB2312"/>
          <w:color w:val="000000"/>
          <w:sz w:val="32"/>
          <w:szCs w:val="32"/>
        </w:rPr>
        <w:t>设备及软件</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0" w:name="_Toc15377224"/>
      <w:r>
        <w:rPr>
          <w:rFonts w:hint="eastAsia" w:ascii="仿宋" w:hAnsi="仿宋" w:eastAsia="仿宋"/>
          <w:b/>
          <w:color w:val="000000"/>
          <w:sz w:val="32"/>
          <w:szCs w:val="32"/>
        </w:rPr>
        <w:t>（三）国有资产占有使用情况</w:t>
      </w:r>
      <w:bookmarkEnd w:id="6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日，阿坝州红十字会共有车辆4辆，其中：机要通信用车1辆、应急保障用车1辆、其他用车2辆。</w:t>
      </w:r>
      <w:r>
        <w:rPr>
          <w:rFonts w:hint="eastAsia" w:ascii="仿宋_GB2312" w:eastAsia="仿宋_GB2312"/>
          <w:color w:val="000000" w:themeColor="text1"/>
          <w:sz w:val="32"/>
          <w:szCs w:val="32"/>
          <w14:textFill>
            <w14:solidFill>
              <w14:schemeClr w14:val="tx1"/>
            </w14:solidFill>
          </w14:textFill>
        </w:rPr>
        <w:t>其他用车主要是捐赠车辆，现已无法正常使用。单价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根据预算绩效管理要求，我会在年初预算编制阶段，组织对</w:t>
      </w:r>
      <w:r>
        <w:rPr>
          <w:rFonts w:hint="eastAsia" w:ascii="仿宋_GB2312" w:hAnsi="仿宋_GB2312" w:eastAsia="仿宋_GB2312" w:cs="仿宋_GB2312"/>
          <w:sz w:val="32"/>
          <w:szCs w:val="32"/>
          <w:highlight w:val="none"/>
          <w:lang w:val="en-US" w:eastAsia="zh-CN"/>
        </w:rPr>
        <w:t>8个</w:t>
      </w:r>
      <w:r>
        <w:rPr>
          <w:rFonts w:hint="eastAsia" w:ascii="仿宋_GB2312" w:hAnsi="仿宋_GB2312" w:eastAsia="仿宋_GB2312" w:cs="仿宋_GB2312"/>
          <w:sz w:val="32"/>
          <w:szCs w:val="32"/>
          <w:highlight w:val="none"/>
        </w:rPr>
        <w:t>项目开展了预算事前绩效评估，对</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个项目编制了绩效目标。</w:t>
      </w:r>
    </w:p>
    <w:p>
      <w:pPr>
        <w:widowControl/>
        <w:spacing w:line="576" w:lineRule="exact"/>
        <w:ind w:firstLine="800" w:firstLineChars="250"/>
        <w:jc w:val="left"/>
        <w:rPr>
          <w:rFonts w:ascii="仿宋_GB2312" w:hAnsi="宋体" w:eastAsia="仿宋_GB2312" w:cs="宋体"/>
          <w:kern w:val="0"/>
          <w:sz w:val="32"/>
          <w:szCs w:val="32"/>
        </w:rPr>
      </w:pPr>
      <w:r>
        <w:rPr>
          <w:rFonts w:hint="eastAsia" w:ascii="仿宋_GB2312" w:hAnsi="仿宋_GB2312" w:eastAsia="仿宋_GB2312" w:cs="仿宋_GB2312"/>
          <w:sz w:val="32"/>
          <w:szCs w:val="32"/>
        </w:rPr>
        <w:t>我会按要求对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宋体" w:eastAsia="仿宋_GB2312" w:cs="宋体"/>
          <w:kern w:val="0"/>
          <w:sz w:val="32"/>
          <w:szCs w:val="32"/>
        </w:rPr>
        <w:t>预算支出在保障本部门工作运转、履行职能职责上整体情况良好。预算编制比较精确、合理，预算支出严格落实中央“八项”规定等厉行节约，反对浪费规定要求，加强三公经费支出管理，动态优化了年度预算安排，保障了经费高效运转。</w:t>
      </w:r>
      <w:r>
        <w:rPr>
          <w:rFonts w:hint="eastAsia" w:ascii="仿宋_GB2312" w:hAnsi="仿宋_GB2312" w:eastAsia="仿宋_GB2312" w:cs="仿宋_GB2312"/>
          <w:sz w:val="32"/>
          <w:szCs w:val="32"/>
        </w:rPr>
        <w:t>我会还</w:t>
      </w:r>
      <w:r>
        <w:rPr>
          <w:rFonts w:hint="eastAsia" w:ascii="仿宋_GB2312" w:hAnsi="仿宋_GB2312" w:eastAsia="仿宋_GB2312" w:cs="仿宋_GB2312"/>
          <w:sz w:val="32"/>
          <w:szCs w:val="32"/>
          <w:lang w:val="en-US" w:eastAsia="zh-CN"/>
        </w:rPr>
        <w:t>进行了</w:t>
      </w:r>
      <w:r>
        <w:rPr>
          <w:rFonts w:hint="eastAsia" w:ascii="仿宋_GB2312" w:hAnsi="仿宋_GB2312" w:eastAsia="仿宋_GB2312" w:cs="仿宋_GB2312"/>
          <w:sz w:val="32"/>
          <w:szCs w:val="32"/>
          <w:highlight w:val="none"/>
          <w:lang w:val="en-US" w:eastAsia="zh-CN"/>
        </w:rPr>
        <w:t>目标</w:t>
      </w:r>
      <w:r>
        <w:rPr>
          <w:rFonts w:hint="eastAsia" w:ascii="仿宋_GB2312" w:hAnsi="仿宋_GB2312" w:eastAsia="仿宋_GB2312" w:cs="仿宋_GB2312"/>
          <w:sz w:val="32"/>
          <w:szCs w:val="32"/>
        </w:rPr>
        <w:t>支出绩效</w:t>
      </w:r>
      <w:r>
        <w:rPr>
          <w:rFonts w:hint="eastAsia" w:ascii="仿宋_GB2312" w:hAnsi="仿宋_GB2312" w:eastAsia="仿宋_GB2312" w:cs="仿宋_GB2312"/>
          <w:sz w:val="32"/>
          <w:szCs w:val="32"/>
          <w:lang w:val="en-US" w:eastAsia="zh-CN"/>
        </w:rPr>
        <w:t>自</w:t>
      </w:r>
      <w:r>
        <w:rPr>
          <w:rFonts w:hint="eastAsia" w:ascii="仿宋_GB2312" w:hAnsi="仿宋_GB2312" w:eastAsia="仿宋_GB2312" w:cs="仿宋_GB2312"/>
          <w:sz w:val="32"/>
          <w:szCs w:val="32"/>
        </w:rPr>
        <w:t>评，从评价情况来看</w:t>
      </w:r>
      <w:r>
        <w:rPr>
          <w:rFonts w:hint="eastAsia" w:ascii="仿宋_GB2312" w:hAnsi="宋体" w:eastAsia="仿宋_GB2312" w:cs="宋体"/>
          <w:kern w:val="0"/>
          <w:sz w:val="32"/>
          <w:szCs w:val="32"/>
        </w:rPr>
        <w:t>各项目经费严格按照轻重缓急的要求保证和使用，开展了常规的“红十字博爱送万家”、“红十字关爱进社区”、 “大病贫困救助”、 “</w:t>
      </w:r>
      <w:r>
        <w:rPr>
          <w:rFonts w:hint="eastAsia" w:ascii="仿宋_GB2312" w:hAnsi="Book Antiqua" w:eastAsia="仿宋_GB2312"/>
          <w:sz w:val="32"/>
          <w:szCs w:val="32"/>
        </w:rPr>
        <w:t>防灾避险、卫生救护培训</w:t>
      </w:r>
      <w:r>
        <w:rPr>
          <w:rFonts w:hint="eastAsia" w:ascii="仿宋_GB2312" w:hAnsi="宋体" w:eastAsia="仿宋_GB2312" w:cs="宋体"/>
          <w:kern w:val="0"/>
          <w:sz w:val="32"/>
          <w:szCs w:val="32"/>
        </w:rPr>
        <w:t>”</w:t>
      </w:r>
      <w:r>
        <w:rPr>
          <w:rFonts w:hint="eastAsia" w:ascii="仿宋_GB2312" w:hAnsi="Book Antiqua" w:eastAsia="仿宋_GB2312"/>
          <w:sz w:val="32"/>
          <w:szCs w:val="32"/>
        </w:rPr>
        <w:t>、应急救援队建设</w:t>
      </w:r>
      <w:r>
        <w:rPr>
          <w:rFonts w:hint="eastAsia" w:ascii="仿宋_GB2312" w:hAnsi="宋体" w:eastAsia="仿宋_GB2312" w:cs="宋体"/>
          <w:kern w:val="0"/>
          <w:sz w:val="32"/>
          <w:szCs w:val="32"/>
        </w:rPr>
        <w:t>等项目，大力宣传了红十字会的职能，提高了群众及青少年对红十字会的了解，提升了各级群众应急、救灾、救护的能力</w:t>
      </w:r>
      <w:r>
        <w:rPr>
          <w:rFonts w:hint="eastAsia" w:ascii="仿宋_GB2312" w:hAnsi="仿宋_GB2312" w:eastAsia="仿宋_GB2312" w:cs="仿宋_GB2312"/>
          <w:sz w:val="32"/>
          <w:szCs w:val="32"/>
        </w:rPr>
        <w:t>。</w:t>
      </w:r>
    </w:p>
    <w:p>
      <w:p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1.项目绩效目标完成情况。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人道救助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Book Antiqua" w:eastAsia="仿宋_GB2312"/>
          <w:sz w:val="32"/>
          <w:szCs w:val="32"/>
        </w:rPr>
        <w:t>防灾避险、卫生救护培训</w:t>
      </w:r>
      <w:r>
        <w:rPr>
          <w:rFonts w:hint="eastAsia" w:ascii="仿宋_GB2312" w:hAnsi="仿宋_GB2312" w:eastAsia="仿宋_GB2312" w:cs="仿宋_GB2312"/>
          <w:sz w:val="32"/>
          <w:szCs w:val="32"/>
        </w:rPr>
        <w:t>”、“应急救援队”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宣传工作</w:t>
      </w:r>
      <w:r>
        <w:rPr>
          <w:rFonts w:hint="eastAsia" w:ascii="仿宋_GB2312" w:hAnsi="仿宋_GB2312" w:eastAsia="仿宋_GB2312" w:cs="仿宋_GB2312"/>
          <w:sz w:val="32"/>
          <w:szCs w:val="32"/>
          <w:lang w:eastAsia="zh-CN"/>
        </w:rPr>
        <w:t>”、“阿坝州备灾应急中心维修（护）、物资运输、仓储及管理等运行”、  “博爱家园等项目工作经费”、“红十字青少年活动工作”、“组织志愿者培训及队伍建设”“</w:t>
      </w:r>
      <w:r>
        <w:rPr>
          <w:rFonts w:hint="eastAsia" w:ascii="仿宋_GB2312" w:hAnsi="仿宋_GB2312" w:eastAsia="仿宋_GB2312" w:cs="仿宋_GB2312"/>
          <w:sz w:val="32"/>
          <w:szCs w:val="32"/>
          <w:lang w:val="en-US" w:eastAsia="zh-CN"/>
        </w:rPr>
        <w:t>生命健康安全体验教室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等项目绩效目标实际完成情况</w:t>
      </w:r>
      <w:r>
        <w:rPr>
          <w:rFonts w:hint="eastAsia" w:ascii="仿宋_GB2312" w:hAnsi="仿宋_GB2312" w:eastAsia="仿宋_GB2312" w:cs="仿宋_GB2312"/>
          <w:sz w:val="32"/>
          <w:szCs w:val="32"/>
          <w:lang w:eastAsia="zh-CN"/>
        </w:rPr>
        <w:t>：</w:t>
      </w:r>
    </w:p>
    <w:tbl>
      <w:tblPr>
        <w:tblStyle w:val="12"/>
        <w:tblpPr w:leftFromText="180" w:rightFromText="180" w:vertAnchor="text" w:horzAnchor="page" w:tblpX="1257" w:tblpY="406"/>
        <w:tblOverlap w:val="never"/>
        <w:tblW w:w="94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3"/>
        <w:gridCol w:w="993"/>
        <w:gridCol w:w="993"/>
        <w:gridCol w:w="2815"/>
        <w:gridCol w:w="993"/>
        <w:gridCol w:w="993"/>
        <w:gridCol w:w="16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9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附件：</w:t>
            </w:r>
          </w:p>
        </w:tc>
        <w:tc>
          <w:tcPr>
            <w:tcW w:w="993" w:type="dxa"/>
            <w:tcBorders>
              <w:top w:val="nil"/>
              <w:left w:val="nil"/>
              <w:bottom w:val="nil"/>
              <w:right w:val="nil"/>
            </w:tcBorders>
            <w:shd w:val="clear" w:color="auto" w:fill="auto"/>
            <w:vAlign w:val="center"/>
          </w:tcPr>
          <w:p>
            <w:pPr>
              <w:rPr>
                <w:rFonts w:hint="eastAsia" w:ascii="黑体" w:hAnsi="宋体" w:eastAsia="黑体" w:cs="黑体"/>
                <w:i w:val="0"/>
                <w:iCs w:val="0"/>
                <w:color w:val="000000"/>
                <w:sz w:val="24"/>
                <w:szCs w:val="24"/>
                <w:u w:val="none"/>
              </w:rPr>
            </w:pPr>
          </w:p>
        </w:tc>
        <w:tc>
          <w:tcPr>
            <w:tcW w:w="993" w:type="dxa"/>
            <w:tcBorders>
              <w:top w:val="nil"/>
              <w:left w:val="nil"/>
              <w:bottom w:val="nil"/>
              <w:right w:val="nil"/>
            </w:tcBorders>
            <w:shd w:val="clear" w:color="auto" w:fill="auto"/>
            <w:vAlign w:val="center"/>
          </w:tcPr>
          <w:p>
            <w:pPr>
              <w:rPr>
                <w:rFonts w:hint="eastAsia" w:ascii="黑体" w:hAnsi="宋体" w:eastAsia="黑体" w:cs="黑体"/>
                <w:i w:val="0"/>
                <w:iCs w:val="0"/>
                <w:color w:val="000000"/>
                <w:sz w:val="24"/>
                <w:szCs w:val="24"/>
                <w:u w:val="none"/>
              </w:rPr>
            </w:pPr>
          </w:p>
        </w:tc>
        <w:tc>
          <w:tcPr>
            <w:tcW w:w="2815" w:type="dxa"/>
            <w:tcBorders>
              <w:top w:val="nil"/>
              <w:left w:val="nil"/>
              <w:bottom w:val="nil"/>
              <w:right w:val="nil"/>
            </w:tcBorders>
            <w:shd w:val="clear" w:color="auto" w:fill="auto"/>
            <w:vAlign w:val="center"/>
          </w:tcPr>
          <w:p>
            <w:pPr>
              <w:rPr>
                <w:rFonts w:hint="eastAsia" w:ascii="黑体" w:hAnsi="宋体" w:eastAsia="黑体" w:cs="黑体"/>
                <w:i w:val="0"/>
                <w:iCs w:val="0"/>
                <w:color w:val="000000"/>
                <w:sz w:val="24"/>
                <w:szCs w:val="24"/>
                <w:u w:val="none"/>
              </w:rPr>
            </w:pPr>
          </w:p>
        </w:tc>
        <w:tc>
          <w:tcPr>
            <w:tcW w:w="99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9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69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947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947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Style w:val="27"/>
                <w:rFonts w:eastAsia="宋体"/>
                <w:lang w:val="en-US" w:eastAsia="zh-CN" w:bidi="ar"/>
              </w:rPr>
              <w:t xml:space="preserve">   2021</w:t>
            </w:r>
            <w:r>
              <w:rPr>
                <w:rStyle w:val="28"/>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993" w:type="dxa"/>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93"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9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28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9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9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69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979"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64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博爱家园工作经费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979"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64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9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64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9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4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9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4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28"/>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84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9"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484"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博爱家园项目是红十字会的核心项目之一，2021年要各县拟继续实施2个博爱家园项目，助力精准脱贫工作。我会负责项目指导和督导工作，以及资料收集和上报等工作。通过项目实施，促进我州红十字组织发展和能力建设，增强项目社区的软实力和防灾减灾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99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指标1：督导项目点个数</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2个以上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指标2：现场督促检查次数</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4次以上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指标3：项目竣工数</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指标4：</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指标1：竣工合格率</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指标1：督导完成时间</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2021年1月-2021年12月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指标1：劳务费</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指标2：公务用车运行费</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指标3：差旅费</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指标1：10个项目总投资</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指标1：增强县红会的项目执行力</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项目执行力进一步增强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3"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指标2：通过博爱家园项目实施提高社区居民的防灾减灾能力和卫生健康水平</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50%受访户认为防灾减灾能力得到加强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指标1：红会项目的影响力</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4"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指标1：社会各界对红十字项目工作的认可度</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6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2"/>
        <w:tblW w:w="9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986"/>
        <w:gridCol w:w="986"/>
        <w:gridCol w:w="3068"/>
        <w:gridCol w:w="986"/>
        <w:gridCol w:w="986"/>
        <w:gridCol w:w="1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940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940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86"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306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40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958"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64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防灾避险、救护培训项目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958"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64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29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64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9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4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9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4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84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4"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414"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按照《四川省红十字事业发展规划（2016-2020）》（试行）和《2016-2020年全省红十字事业发展指标分解》要求，阿坝州要广泛开展普及公众急救知识和技能工作。公众应急救护知识和技能普及率得到提升，红十字救护员队伍不断发展壮大，群众性应急救护培训主体作用得到充分发挥。同时在《指标分解》中有详细明确的要求，我会从2018年至2021年必须加大救护培训的工作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9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8"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指标1：全州各级红会举办“急救员”培训班期数</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65期以上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指标2：全州各级红会举办“救护员”培训班参加人数</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指标3：全州各级举办普及培训场次</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30场次以上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指标4：普及培训及宣传参加人次</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指标1：急救员培训获证书人数</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指标2：救护普及培训接受度</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指标1：培训完成时间</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2020年1月-2020年12月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指标1：人均培训耗材费</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指标2：人均教材证书费</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指标3：其它培训费用（人均）</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指标1：因急救降低伤残和死亡发生率，而产生的经济价值</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无可估量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指标1：因急救降低伤残和死亡发生率</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由目前的2%的存活率可提升至10%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指标1：社会各界对红十字救护工作的认可度</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极大增强人们对红会工作的认识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指标1：培训人员满意度</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0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2"/>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tbl>
      <w:tblPr>
        <w:tblStyle w:val="12"/>
        <w:tblW w:w="90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4"/>
        <w:gridCol w:w="954"/>
        <w:gridCol w:w="1033"/>
        <w:gridCol w:w="3209"/>
        <w:gridCol w:w="954"/>
        <w:gridCol w:w="954"/>
        <w:gridCol w:w="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90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902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54"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3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320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6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2941"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60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生命健康安全体验教室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2941"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60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294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60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年度资金总额：93.75万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294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 61.25万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294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  32.5万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80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8"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066"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一个生命健康安全体验教室”，内设地震、火灾、交通、应急救护、家庭急救和红十字知识等模块，以体验式教学+网络服务为特点，为我州广大民众提供全方位、立体式公共安全教育平台。把我州生命健康安全教育体验基地建设成为少数民族地区的典型示范基地，让我州广大民众，特别是在校学生有一个集生命安全教育、培训、体验于一体的实践场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95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指标1：每年体验群体</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指标2：防灾减灾宣传</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4次以上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指标3：</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指标4：</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指标1：竣工合格率</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指标1：体验完成时间</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2021年1月-2021年12月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指标1：采购体验设备及装修</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指标3：</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指标1：10个项目总投资</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指标1：提升民众防灾自救能力</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提升民众自救互救能力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指标2：通过生命体验馆的开放提高社会各界人士防灾减灾能力卫生健康水平</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80%体验者认为防灾减灾能力得到加强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指标1：红会项目的影响力</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进一步增加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指标1：社会各界对红十字项目工作的认可度</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tbl>
      <w:tblPr>
        <w:tblStyle w:val="12"/>
        <w:tblpPr w:leftFromText="180" w:rightFromText="180" w:vertAnchor="text" w:horzAnchor="page" w:tblpX="1696" w:tblpY="776"/>
        <w:tblOverlap w:val="never"/>
        <w:tblW w:w="9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36"/>
        <w:gridCol w:w="548"/>
        <w:gridCol w:w="1050"/>
        <w:gridCol w:w="2436"/>
        <w:gridCol w:w="927"/>
        <w:gridCol w:w="946"/>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94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36" w:type="dxa"/>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548"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24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4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3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234"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红十字青少年活动工作经费项目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234"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2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预算测算标准及测算过程</w:t>
            </w:r>
          </w:p>
        </w:tc>
        <w:tc>
          <w:tcPr>
            <w:tcW w:w="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2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68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6"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844"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红十字青少年活动与贯彻国家教育方针相结合，与学校的素质教育、德育教育和健康教育相结合，在学生中广泛开展红十字人道主义、爱国主义教育，创新方式方法，针对青少年不同年龄、不同知识层次，组织开展相应的自救互救知识竞赛、开展红十字青少年应急救护和开展各类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2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5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指标1：总会年度知识竞赛红十字青少年参加人数</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指标2：组织实施红十字青少年项目</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指标1：全州红十字青少年试卷通过率</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指标2：项目通过率</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指标3：</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指标1：参加总会年度知识竞赛完成时间</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2021年6月底前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指标2：红十字青少年项目完成时间</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2021年10月底前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指标1：参加总会年度知识竞赛试卷购置费</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每张1元，合计1.8万元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指标2：红十字青少年项目经费</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指标3：资料打印等杂费</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指标1：红十字青少年对红十字运动、相关法律法规及自救、互救、他救知识的了解率</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指标2：通过红十字青少年项目的实施，强化红十字青少年自救互救、艾滋病防治等能力。</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保障红十字青少年生命安全，提高其应急处突能力。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指标1：总会年度知识竞赛评比</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获奖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指标2：项目实施学校师生满意率</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2"/>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pStyle w:val="2"/>
      </w:pPr>
    </w:p>
    <w:tbl>
      <w:tblPr>
        <w:tblStyle w:val="12"/>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36"/>
        <w:gridCol w:w="549"/>
        <w:gridCol w:w="1049"/>
        <w:gridCol w:w="2454"/>
        <w:gridCol w:w="923"/>
        <w:gridCol w:w="939"/>
        <w:gridCol w:w="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94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948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551"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24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3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152"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152"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5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1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5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1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1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预算测算标准及测算过程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3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2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69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2"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936"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作相关宣传广告、图文资料及音像视频等宣传品，进一步切实加大对红十字会应急救援、应急救护及人道救助等业务工作及援建项目、公益品牌活动宣传，不断创新宣传工作方式方法，全力构建红会大宣传格局，大力动员社会各界积极支持和参与红十字事业，进一步提升红十字会公信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2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55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指标1：制作宣传资料</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红十字知识宣传资料1万份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指标2：制作宣传品</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红十字知识宣传品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 宣传资料</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彩色A4纸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指标2：宣传品</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符合国家、省、州相关标准，无毒无害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指标1：资料制作完成</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指标2：宣传品制作完成</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指标1：资料设计制作费</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指标2：宣传品制作费</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指标1：宣传资料</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提升红十字知识社会知晓率和普及率。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指标2：创新宣传方式</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提高社会对红十字运动的知晓率，引导爱心人士积极投身红十字事业。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指标1：宣传资料各级红十字会满意率</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指标2：宣传品会机关满意率</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2"/>
      </w:pPr>
    </w:p>
    <w:p>
      <w:pPr>
        <w:pStyle w:val="2"/>
      </w:pPr>
    </w:p>
    <w:p>
      <w:pPr>
        <w:pStyle w:val="2"/>
      </w:pPr>
    </w:p>
    <w:p>
      <w:pPr>
        <w:pStyle w:val="2"/>
      </w:pPr>
    </w:p>
    <w:p>
      <w:pPr>
        <w:pStyle w:val="2"/>
      </w:pPr>
    </w:p>
    <w:p>
      <w:pPr>
        <w:pStyle w:val="2"/>
      </w:pPr>
    </w:p>
    <w:p>
      <w:pPr>
        <w:pStyle w:val="2"/>
      </w:pPr>
    </w:p>
    <w:tbl>
      <w:tblPr>
        <w:tblStyle w:val="12"/>
        <w:tblW w:w="9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88"/>
        <w:gridCol w:w="537"/>
        <w:gridCol w:w="1018"/>
        <w:gridCol w:w="2351"/>
        <w:gridCol w:w="881"/>
        <w:gridCol w:w="898"/>
        <w:gridCol w:w="8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92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1" w:hRule="atLeast"/>
        </w:trPr>
        <w:tc>
          <w:tcPr>
            <w:tcW w:w="92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537"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1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235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8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89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88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243"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0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组织志愿者培训及队伍建设项目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243"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50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50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4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0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2" w:hRule="atLeast"/>
        </w:trPr>
        <w:tc>
          <w:tcPr>
            <w:tcW w:w="4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0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预算测算标准及测算过程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0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2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65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8"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57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促进红十字会员、志愿者对红十字精神及工作业务的了解，培养一批既有社会爱心又具有一定服务能力的红十字会员、志愿服务人员，打造阿坝州红十字爱心团队，开展会员、志愿者培训，进一步拓展红十字业务辐射范围，提高红十字知晓率，为我州弱势困难群体服务，为“五个”阿坝建设作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6" w:hRule="atLeast"/>
        </w:trPr>
        <w:tc>
          <w:tcPr>
            <w:tcW w:w="2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53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指标1：举办全州13县及州级机关会员、志愿者培训期数</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指标2：红十字会会员、志愿者培训人数</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74"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指标1：红十字会员、志愿者培训接受度</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53"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指标1：培训完成时间</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2020年9月底前完成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指标1：人均培训成本</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7"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指标1：培养一批既有社会爱心又具有一定服务能力的红十字会员、志愿服务人员，打造红十字爱心团队效益。</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适时开展志愿服务，帮扶我州弱势困难群众，为“五个”阿坝建设作贡献。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指标1：注册志愿者增加数</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年增加50人以上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指标1：参训会员、志愿者满意度</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pStyle w:val="2"/>
      </w:pPr>
    </w:p>
    <w:p>
      <w:pPr>
        <w:pStyle w:val="2"/>
      </w:pPr>
    </w:p>
    <w:p>
      <w:pPr>
        <w:pStyle w:val="2"/>
      </w:pPr>
    </w:p>
    <w:p>
      <w:pPr>
        <w:pStyle w:val="2"/>
      </w:pPr>
    </w:p>
    <w:p>
      <w:pPr>
        <w:pStyle w:val="2"/>
      </w:pPr>
    </w:p>
    <w:tbl>
      <w:tblPr>
        <w:tblStyle w:val="12"/>
        <w:tblW w:w="9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5"/>
        <w:gridCol w:w="852"/>
        <w:gridCol w:w="1386"/>
        <w:gridCol w:w="2812"/>
        <w:gridCol w:w="1083"/>
        <w:gridCol w:w="1105"/>
        <w:gridCol w:w="15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6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852"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3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28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8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1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8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73"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6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红十字会人道救助项目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73"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6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6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年度资金总额：36万元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 36万元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预算测算标准及测算过程</w:t>
            </w:r>
          </w:p>
        </w:tc>
        <w:tc>
          <w:tcPr>
            <w:tcW w:w="6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原“大病救助项目”16万/年、“关爱进社区项目”5万/年、“博爱送万家项目”15万/年。合并为36万元/年。现将三项传统品牌项目统筹安排，预算救助金34万元，差旅费1万元，公务用车运行维护费1万元。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88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82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据《中华人民共和国红十字会法》第三章第十二条红十字会履行职责和《中国红十字会章程》第二章第十条红十字会履行职责的相关规定，我会长期执行“大病救助”、“关爱进社区”、“博爱送万家”等红十字品牌项目，现将该批项目合并为“阿坝州红十字会人道救助项目”，继续关心帮助我州弱势群体的生命与健康。结合我州建设一州、两区、三家园的总体目标，大力开展我州弱势群体的助医、助困、助学等工作，切实发挥好党和政府在人道领域联系人民群众的桥梁和纽带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85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指标1：每年救助人数</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救助人数达500-1000人次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指标1：物资质量</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涉及物资采购时，所采购的物资符合国家相关标准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指标1：完成时效</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2021年年底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指标1：救助人均成本</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350元-700元/人次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指标2：工作经费</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指标1：社会影响</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关心帮助我州弱势群体的生命与健康，切实发挥好党和政府在人道领域联系人民群众的桥梁和纽带作用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指标1：持续发展</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改善困难群众生活，提高红会公信力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5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3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2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指标1：群众满意度</w:t>
            </w:r>
          </w:p>
        </w:tc>
        <w:tc>
          <w:tcPr>
            <w:tcW w:w="3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95%以上</w:t>
            </w:r>
          </w:p>
        </w:tc>
      </w:tr>
    </w:tbl>
    <w:p>
      <w:pPr>
        <w:pStyle w:val="2"/>
      </w:pPr>
    </w:p>
    <w:tbl>
      <w:tblPr>
        <w:tblStyle w:val="12"/>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4"/>
        <w:gridCol w:w="734"/>
        <w:gridCol w:w="1249"/>
        <w:gridCol w:w="3148"/>
        <w:gridCol w:w="1216"/>
        <w:gridCol w:w="1240"/>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95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部门预算项目支出绩效目标申报表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2021</w:t>
            </w:r>
            <w:r>
              <w:rPr>
                <w:rFonts w:hint="eastAsia" w:ascii="宋体" w:hAnsi="宋体" w:eastAsia="宋体" w:cs="宋体"/>
                <w:i w:val="0"/>
                <w:iCs w:val="0"/>
                <w:color w:val="000000"/>
                <w:kern w:val="0"/>
                <w:sz w:val="24"/>
                <w:szCs w:val="24"/>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nil"/>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620" w:type="dxa"/>
            <w:tcBorders>
              <w:top w:val="nil"/>
              <w:left w:val="nil"/>
              <w:bottom w:val="single" w:color="000000" w:sz="4" w:space="0"/>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2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32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2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27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25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2494"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7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阿坝州备灾应急中心维修（护）物资运输仓储及管理等运行经费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2494"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预算单位</w:t>
            </w:r>
          </w:p>
        </w:tc>
        <w:tc>
          <w:tcPr>
            <w:tcW w:w="7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阿坝州红十字会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24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7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年度资金总额：18万元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24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其中：财政拨款 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24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预算测算标准及测算过程</w:t>
            </w:r>
          </w:p>
        </w:tc>
        <w:tc>
          <w:tcPr>
            <w:tcW w:w="70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阿坝州红十字会备灾应急中心的仓库物资保管、物资运输装卸、排污治污及消防、电梯、安防消洗设备、房屋及设施维修（护）、志愿者救援队后勤保障等经费，年度维护费8万元，水电费5万元，物资搬运管理费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89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2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弘扬红十字“人道、博爱、奉献”精神，提高阿坝州红十字会救灾、救援、救助、救护能力，保障阿坝州红十字会备灾应急中心的仓库保管、物资装卸、排污治污及消防、电梯、安防消洗设备、房屋及设施维修（护)志愿者救援队后勤保障等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指标1：管理面积</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满足4651.77平方米备灾应急中心安全防范、物资保管与卫生保洁、排污治污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指标1：物资保管、搬运</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保障物资的科学化管理与保护，确保物资调度，保障救灾、救援物资及时、安全的运送到灾区群众手中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指标2：维保维护维修</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确保4651.77平方米备灾应急中心的消防、电梯、消洗、安防、防雷改造、房屋及设施的日常维保、维护、维修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指标1：效益时间</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指标1：管理费用</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项目效益</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指标1：物资保值</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能保障社会捐赠和财政支持物资的防潮、防虫等，避免造成经济损失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指标1：物资搬运</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能保障灾害发生时救灾、救援物资能及时、安全的运送到灾区群众手中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指标1：环保</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安全可靠排污治污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指标1：安防保洁</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确保安全防范、整洁美观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指标2：维保维护维修</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消防、电梯、消洗、安防设备、房屋及设施正常运转，没有资产损坏，设备没有功能失效的情况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指标1：物资保管、运输</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备灾仓库物资保管科学有序、不出问题，救灾、救援物资能第一时间送到灾区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指标2：安防保洁</w:t>
            </w:r>
          </w:p>
        </w:tc>
        <w:tc>
          <w:tcPr>
            <w:tcW w:w="3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不出现任何安全责任事故、24小时整洁、环境美观</w:t>
            </w:r>
          </w:p>
        </w:tc>
      </w:tr>
    </w:tbl>
    <w:p>
      <w:pPr>
        <w:pStyle w:val="2"/>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hint="eastAsia" w:ascii="黑体" w:eastAsia="黑体"/>
          <w:sz w:val="44"/>
          <w:szCs w:val="44"/>
          <w:lang w:val="en-US" w:eastAsia="zh-CN"/>
        </w:rPr>
      </w:pPr>
    </w:p>
    <w:p>
      <w:pPr>
        <w:numPr>
          <w:ilvl w:val="0"/>
          <w:numId w:val="0"/>
        </w:numPr>
        <w:spacing w:line="600" w:lineRule="exact"/>
        <w:jc w:val="center"/>
        <w:outlineLvl w:val="0"/>
        <w:rPr>
          <w:rFonts w:ascii="宋体"/>
          <w:b/>
          <w:color w:val="000000"/>
          <w:sz w:val="44"/>
          <w:szCs w:val="44"/>
        </w:rPr>
      </w:pPr>
      <w:r>
        <w:rPr>
          <w:rFonts w:hint="eastAsia" w:ascii="黑体" w:eastAsia="黑体"/>
          <w:sz w:val="44"/>
          <w:szCs w:val="44"/>
          <w:lang w:val="en-US" w:eastAsia="zh-CN"/>
        </w:rPr>
        <w:t xml:space="preserve">第三部分 </w:t>
      </w:r>
      <w:r>
        <w:rPr>
          <w:rFonts w:hint="eastAsia" w:ascii="黑体" w:eastAsia="黑体"/>
          <w:sz w:val="44"/>
          <w:szCs w:val="44"/>
        </w:rPr>
        <w:t>名</w:t>
      </w:r>
      <w:r>
        <w:rPr>
          <w:rStyle w:val="16"/>
          <w:rFonts w:hint="eastAsia" w:ascii="黑体" w:eastAsia="黑体"/>
          <w:b w:val="0"/>
        </w:rPr>
        <w:t>词解释</w:t>
      </w:r>
      <w:bookmarkEnd w:id="30"/>
      <w:bookmarkEnd w:id="31"/>
      <w:bookmarkStart w:id="61" w:name="_Toc15396614"/>
      <w:bookmarkStart w:id="62" w:name="_Toc15377226"/>
    </w:p>
    <w:p>
      <w:pPr>
        <w:pStyle w:val="21"/>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1"/>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pStyle w:val="21"/>
        <w:spacing w:line="560" w:lineRule="exact"/>
        <w:ind w:firstLine="640" w:firstLineChars="200"/>
        <w:rPr>
          <w:rFonts w:ascii="仿宋_GB2312" w:eastAsia="仿宋_GB2312"/>
          <w:bCs/>
          <w:sz w:val="32"/>
          <w:szCs w:val="32"/>
        </w:rPr>
      </w:pPr>
      <w:r>
        <w:rPr>
          <w:rFonts w:hint="eastAsia" w:ascii="仿宋_GB2312" w:eastAsia="仿宋_GB2312"/>
          <w:bCs/>
          <w:sz w:val="32"/>
          <w:szCs w:val="32"/>
        </w:rPr>
        <w:t>5.社会保障和就业支出：反映政府在社会保障与就业方面的支出。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机关事业单位基本养老保险缴费支出：反映机关事业单位实施养老保险制度由单位缴纳的基本养老保险费支出。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机关事业单位职业年金缴费支出：反映机关事业单位实施养老保险制度有单位实际缴纳的职业年金支出。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行政运行：反映行政单位（包括实行公务员管理的事业单位）的基本支出。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一般行政管理事务：反映行政单位（包括实行公务员管理的事业单位）未单独设置项级科目的其他项目支出。</w:t>
      </w:r>
    </w:p>
    <w:p>
      <w:pPr>
        <w:pStyle w:val="21"/>
        <w:spacing w:line="560" w:lineRule="exact"/>
        <w:ind w:firstLine="640" w:firstLineChars="200"/>
        <w:rPr>
          <w:rFonts w:ascii="仿宋_GB2312" w:eastAsia="仿宋_GB2312"/>
          <w:sz w:val="32"/>
          <w:szCs w:val="32"/>
        </w:rPr>
      </w:pPr>
      <w:r>
        <w:rPr>
          <w:rFonts w:hint="eastAsia" w:ascii="仿宋_GB2312" w:eastAsia="仿宋_GB2312"/>
          <w:bCs/>
          <w:sz w:val="32"/>
          <w:szCs w:val="32"/>
        </w:rPr>
        <w:t>6.医疗卫生与计划生育支出</w:t>
      </w:r>
      <w:r>
        <w:rPr>
          <w:rFonts w:hint="eastAsia" w:ascii="仿宋_GB2312" w:eastAsia="仿宋_GB2312"/>
          <w:sz w:val="32"/>
          <w:szCs w:val="32"/>
        </w:rPr>
        <w:t>：反映政府医疗卫生与计划生育管理方面的支出。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行政单位医疗：反映财政部门集中安排的行政单位基本医疗保险缴费经费，未参加医疗保险的行政单位的公费医疗经费，按国家规定享受离休人员、红军老战士待遇人员的医疗经费。</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公务员医疗补助：反映财政部门安排的公务员医疗补助经费。</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7、住房保障支出：集中反映政府用于住房方面的支出。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住房公积金：反映行政事业单位按人力资源和社会保障部、财政部规定的基本工资和津补贴以及规定比例为职工缴纳的住房公积金。</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Style w:val="21"/>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Style w:val="16"/>
          <w:rFonts w:ascii="黑体" w:eastAsia="黑体"/>
          <w:b w:val="0"/>
        </w:rPr>
      </w:pPr>
      <w:r>
        <w:rPr>
          <w:rFonts w:hint="eastAsia" w:ascii="黑体" w:eastAsia="黑体"/>
          <w:sz w:val="44"/>
          <w:szCs w:val="44"/>
        </w:rPr>
        <w:t>第</w:t>
      </w:r>
      <w:r>
        <w:rPr>
          <w:rStyle w:val="16"/>
          <w:rFonts w:hint="eastAsia" w:ascii="黑体" w:eastAsia="黑体"/>
          <w:b w:val="0"/>
        </w:rPr>
        <w:t>四部分 附件</w:t>
      </w:r>
      <w:bookmarkEnd w:id="61"/>
    </w:p>
    <w:p>
      <w:pPr>
        <w:spacing w:line="572" w:lineRule="exact"/>
        <w:jc w:val="left"/>
        <w:outlineLvl w:val="0"/>
        <w:rPr>
          <w:rFonts w:ascii="方正小标宋简体" w:eastAsia="方正小标宋简体" w:cs="方正小标宋简体"/>
          <w:sz w:val="44"/>
          <w:szCs w:val="44"/>
        </w:rPr>
      </w:pPr>
      <w:r>
        <w:rPr>
          <w:rFonts w:hint="eastAsia" w:asci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黑体" w:eastAsia="黑体"/>
          <w:sz w:val="44"/>
          <w:szCs w:val="44"/>
        </w:rPr>
      </w:pPr>
      <w:r>
        <w:rPr>
          <w:rFonts w:hint="eastAsia" w:ascii="黑体" w:eastAsia="黑体"/>
          <w:sz w:val="44"/>
          <w:szCs w:val="44"/>
        </w:rPr>
        <w:t>阿坝州红十字会</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1</w:t>
      </w:r>
      <w:r>
        <w:rPr>
          <w:rFonts w:hint="eastAsia" w:ascii="黑体" w:eastAsia="黑体"/>
          <w:sz w:val="44"/>
          <w:szCs w:val="44"/>
        </w:rPr>
        <w:t>年部门整体支出绩效报告</w:t>
      </w:r>
    </w:p>
    <w:p>
      <w:pPr>
        <w:keepNext w:val="0"/>
        <w:keepLines w:val="0"/>
        <w:pageBreakBefore w:val="0"/>
        <w:kinsoku/>
        <w:wordWrap/>
        <w:overflowPunct/>
        <w:topLinePunct w:val="0"/>
        <w:autoSpaceDN/>
        <w:bidi w:val="0"/>
        <w:adjustRightInd/>
        <w:spacing w:line="576" w:lineRule="exact"/>
        <w:jc w:val="center"/>
        <w:textAlignment w:val="auto"/>
        <w:rPr>
          <w:rFonts w:hint="eastAsia" w:ascii="黑体" w:eastAsia="黑体"/>
          <w:sz w:val="44"/>
          <w:szCs w:val="44"/>
        </w:rPr>
      </w:pP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黑体" w:eastAsia="黑体"/>
          <w:sz w:val="44"/>
          <w:szCs w:val="44"/>
        </w:rPr>
      </w:pPr>
      <w:r>
        <w:rPr>
          <w:rFonts w:hint="eastAsia" w:ascii="黑体" w:hAnsi="宋体" w:eastAsia="黑体" w:cs="宋体"/>
          <w:kern w:val="0"/>
          <w:sz w:val="32"/>
          <w:szCs w:val="32"/>
        </w:rPr>
        <w:t>一、部门基本概况</w:t>
      </w:r>
    </w:p>
    <w:p>
      <w:pPr>
        <w:keepNext w:val="0"/>
        <w:keepLines w:val="0"/>
        <w:pageBreakBefore w:val="0"/>
        <w:kinsoku/>
        <w:wordWrap/>
        <w:overflowPunct/>
        <w:topLinePunct w:val="0"/>
        <w:autoSpaceDN/>
        <w:bidi w:val="0"/>
        <w:adjustRightInd/>
        <w:spacing w:line="576" w:lineRule="exact"/>
        <w:ind w:firstLine="643" w:firstLineChars="200"/>
        <w:textAlignment w:val="auto"/>
        <w:rPr>
          <w:rFonts w:hint="eastAsia" w:ascii="楷体_GB2312" w:eastAsia="楷体_GB2312"/>
          <w:sz w:val="44"/>
          <w:szCs w:val="44"/>
        </w:rPr>
      </w:pPr>
      <w:r>
        <w:rPr>
          <w:rFonts w:hint="eastAsia" w:ascii="楷体_GB2312" w:hAnsi="宋体" w:eastAsia="楷体_GB2312" w:cs="宋体"/>
          <w:b/>
          <w:kern w:val="0"/>
          <w:sz w:val="32"/>
          <w:szCs w:val="32"/>
        </w:rPr>
        <w:t>（一）机构组成</w:t>
      </w:r>
    </w:p>
    <w:p>
      <w:pPr>
        <w:keepNext w:val="0"/>
        <w:keepLines w:val="0"/>
        <w:pageBreakBefore w:val="0"/>
        <w:widowControl/>
        <w:kinsoku/>
        <w:wordWrap/>
        <w:overflowPunct/>
        <w:topLinePunct w:val="0"/>
        <w:autoSpaceDN/>
        <w:bidi w:val="0"/>
        <w:adjustRightInd/>
        <w:spacing w:line="576" w:lineRule="exact"/>
        <w:ind w:left="210" w:leftChars="100" w:firstLine="640" w:firstLineChars="20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本部门为正县级参公事业单位，没有下属二级预算单位，其中内设机构4个分别是：办公室、赈灾救济部、组织宣传部、事业发展项目部。</w:t>
      </w:r>
    </w:p>
    <w:p>
      <w:pPr>
        <w:keepNext w:val="0"/>
        <w:keepLines w:val="0"/>
        <w:pageBreakBefore w:val="0"/>
        <w:widowControl/>
        <w:kinsoku/>
        <w:wordWrap/>
        <w:overflowPunct/>
        <w:topLinePunct w:val="0"/>
        <w:autoSpaceDN/>
        <w:bidi w:val="0"/>
        <w:adjustRightInd/>
        <w:spacing w:line="576" w:lineRule="exact"/>
        <w:ind w:firstLine="643" w:firstLineChars="200"/>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（二）机构职能</w:t>
      </w:r>
    </w:p>
    <w:p>
      <w:pPr>
        <w:keepNext w:val="0"/>
        <w:keepLines w:val="0"/>
        <w:pageBreakBefore w:val="0"/>
        <w:kinsoku/>
        <w:wordWrap/>
        <w:overflowPunct/>
        <w:topLinePunct w:val="0"/>
        <w:autoSpaceDN/>
        <w:bidi w:val="0"/>
        <w:adjustRightInd/>
        <w:snapToGrid w:val="0"/>
        <w:spacing w:line="576"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阿坝州红十字会是中华人民共和国统一的红十字组织，是从事人道主义工作的社会救助团体，是州委、州政府在人道领域的助手和联系群众的桥梁纽带。遵守宪法和法律，按照《中国红十字会章程》独立自主地开展工作。认真贯彻落实《中华人民共和国红十字会法》，依法履行法定职责，开展救灾、救助、救护工作。建立红十字应急救援体系，拓展人道资源动员能力，参与推动无偿献血、造血干细胞捐献、人体器官（遗体）捐献工作。</w:t>
      </w:r>
    </w:p>
    <w:p>
      <w:pPr>
        <w:keepNext w:val="0"/>
        <w:keepLines w:val="0"/>
        <w:pageBreakBefore w:val="0"/>
        <w:widowControl/>
        <w:kinsoku/>
        <w:wordWrap/>
        <w:overflowPunct/>
        <w:topLinePunct w:val="0"/>
        <w:autoSpaceDN/>
        <w:bidi w:val="0"/>
        <w:adjustRightInd/>
        <w:spacing w:line="576" w:lineRule="exact"/>
        <w:ind w:firstLine="617" w:firstLineChars="192"/>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（三）人员概况</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本部门总编制10名，其中：参照公务员法管理的事业编制8名，工勤人员2名。在职人员总数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名，其中参照公务员法管理的事业编制</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名，工勤人员2名；退休人员2名。</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二、部门财政资金收支情况</w:t>
      </w:r>
    </w:p>
    <w:p>
      <w:pPr>
        <w:keepNext w:val="0"/>
        <w:keepLines w:val="0"/>
        <w:pageBreakBefore w:val="0"/>
        <w:kinsoku/>
        <w:wordWrap/>
        <w:overflowPunct/>
        <w:topLinePunct w:val="0"/>
        <w:autoSpaceDN/>
        <w:bidi w:val="0"/>
        <w:adjustRightInd/>
        <w:spacing w:line="576" w:lineRule="exact"/>
        <w:ind w:firstLine="643" w:firstLineChars="200"/>
        <w:textAlignment w:val="auto"/>
        <w:rPr>
          <w:rFonts w:hint="eastAsia"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（一）部门财政资金收入情况</w:t>
      </w:r>
    </w:p>
    <w:p>
      <w:pPr>
        <w:keepNext w:val="0"/>
        <w:keepLines w:val="0"/>
        <w:pageBreakBefore w:val="0"/>
        <w:widowControl w:val="0"/>
        <w:suppressLineNumbers w:val="0"/>
        <w:kinsoku/>
        <w:wordWrap/>
        <w:overflowPunct/>
        <w:topLinePunct w:val="0"/>
        <w:autoSpaceDE w:val="0"/>
        <w:autoSpaceDN/>
        <w:bidi w:val="0"/>
        <w:adjustRightInd/>
        <w:snapToGrid w:val="0"/>
        <w:spacing w:line="576" w:lineRule="exact"/>
        <w:ind w:left="0" w:firstLine="640" w:firstLineChars="200"/>
        <w:textAlignment w:val="auto"/>
        <w:rPr>
          <w:rFonts w:hint="eastAsia" w:ascii="仿宋_GB2312" w:hAnsi="仿宋" w:eastAsia="仿宋_GB2312" w:cs="宋体"/>
          <w:kern w:val="0"/>
          <w:sz w:val="32"/>
          <w:szCs w:val="32"/>
          <w:highlight w:val="darkGray"/>
        </w:rPr>
      </w:pPr>
      <w:r>
        <w:rPr>
          <w:rFonts w:hint="eastAsia" w:ascii="仿宋_GB2312" w:hAnsi="仿宋" w:eastAsia="仿宋_GB2312" w:cs="宋体"/>
          <w:kern w:val="0"/>
          <w:sz w:val="32"/>
          <w:szCs w:val="32"/>
          <w:highlight w:val="none"/>
          <w:lang w:val="en-US" w:eastAsia="zh-CN"/>
        </w:rPr>
        <w:t>依据决算报表</w:t>
      </w:r>
      <w:r>
        <w:rPr>
          <w:rFonts w:hint="eastAsia" w:ascii="仿宋_GB2312" w:hAnsi="仿宋" w:eastAsia="仿宋_GB2312" w:cs="宋体"/>
          <w:kern w:val="0"/>
          <w:sz w:val="32"/>
          <w:szCs w:val="32"/>
          <w:highlight w:val="none"/>
        </w:rPr>
        <w:t>202</w:t>
      </w:r>
      <w:r>
        <w:rPr>
          <w:rFonts w:hint="eastAsia" w:ascii="仿宋_GB2312" w:hAnsi="仿宋" w:eastAsia="仿宋_GB2312" w:cs="宋体"/>
          <w:kern w:val="0"/>
          <w:sz w:val="32"/>
          <w:szCs w:val="32"/>
          <w:highlight w:val="none"/>
          <w:lang w:val="en-US" w:eastAsia="zh-CN"/>
        </w:rPr>
        <w:t>1</w:t>
      </w:r>
      <w:r>
        <w:rPr>
          <w:rFonts w:hint="eastAsia" w:ascii="仿宋_GB2312" w:hAnsi="仿宋" w:eastAsia="仿宋_GB2312"/>
          <w:sz w:val="32"/>
          <w:szCs w:val="32"/>
          <w:highlight w:val="none"/>
        </w:rPr>
        <w:t>年总收入</w:t>
      </w:r>
      <w:r>
        <w:rPr>
          <w:rFonts w:hint="eastAsia" w:ascii="仿宋_GB2312" w:hAnsi="仿宋" w:eastAsia="仿宋_GB2312" w:cs="宋体"/>
          <w:kern w:val="0"/>
          <w:sz w:val="32"/>
          <w:szCs w:val="32"/>
          <w:highlight w:val="none"/>
        </w:rPr>
        <w:t>4589416.89</w:t>
      </w:r>
      <w:r>
        <w:rPr>
          <w:rFonts w:hint="eastAsia" w:ascii="仿宋_GB2312" w:hAnsi="仿宋" w:eastAsia="仿宋_GB2312"/>
          <w:sz w:val="32"/>
          <w:szCs w:val="32"/>
          <w:highlight w:val="none"/>
        </w:rPr>
        <w:t>元，其中：</w:t>
      </w:r>
      <w:r>
        <w:rPr>
          <w:rFonts w:hint="eastAsia" w:ascii="仿宋_GB2312" w:hAnsi="仿宋" w:eastAsia="仿宋_GB2312" w:cs="仿宋_GB2312"/>
          <w:kern w:val="0"/>
          <w:sz w:val="32"/>
          <w:szCs w:val="32"/>
          <w:highlight w:val="none"/>
        </w:rPr>
        <w:t>财政拨款收入为</w:t>
      </w:r>
      <w:r>
        <w:rPr>
          <w:rFonts w:hint="eastAsia" w:ascii="仿宋_GB2312" w:hAnsi="仿宋" w:eastAsia="仿宋_GB2312" w:cs="宋体"/>
          <w:kern w:val="0"/>
          <w:sz w:val="32"/>
          <w:szCs w:val="32"/>
          <w:highlight w:val="none"/>
        </w:rPr>
        <w:t>4589416.89</w:t>
      </w:r>
      <w:r>
        <w:rPr>
          <w:rFonts w:hint="eastAsia" w:ascii="仿宋_GB2312" w:hAnsi="仿宋" w:eastAsia="仿宋_GB2312" w:cs="仿宋_GB2312"/>
          <w:kern w:val="0"/>
          <w:sz w:val="32"/>
          <w:szCs w:val="32"/>
          <w:highlight w:val="none"/>
        </w:rPr>
        <w:t>元，其中：</w:t>
      </w:r>
      <w:r>
        <w:rPr>
          <w:rFonts w:hint="eastAsia" w:ascii="仿宋_GB2312" w:hAnsi="仿宋" w:eastAsia="仿宋_GB2312" w:cs="宋体"/>
          <w:kern w:val="0"/>
          <w:sz w:val="32"/>
          <w:szCs w:val="32"/>
          <w:highlight w:val="none"/>
        </w:rPr>
        <w:t>2080505机关事业单位基本养老保险缴费支出158427.2</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2080506机关事业单位职业年金缴费支出74402.64</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2101101行政单位医疗102184.95</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2101103公务员医疗</w:t>
      </w:r>
      <w:r>
        <w:rPr>
          <w:rFonts w:hint="eastAsia" w:ascii="仿宋_GB2312" w:hAnsi="仿宋" w:eastAsia="仿宋_GB2312" w:cs="仿宋_GB2312"/>
          <w:kern w:val="0"/>
          <w:sz w:val="32"/>
          <w:szCs w:val="32"/>
          <w:highlight w:val="none"/>
        </w:rPr>
        <w:t>补助</w:t>
      </w:r>
      <w:r>
        <w:rPr>
          <w:rFonts w:hint="eastAsia" w:ascii="仿宋_GB2312" w:hAnsi="仿宋" w:eastAsia="仿宋_GB2312" w:cs="宋体"/>
          <w:kern w:val="0"/>
          <w:sz w:val="32"/>
          <w:szCs w:val="32"/>
          <w:highlight w:val="none"/>
        </w:rPr>
        <w:t>22073.54</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2210201住房公积金172529.28</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2081601行政运行2473970.6</w:t>
      </w:r>
      <w:r>
        <w:rPr>
          <w:rFonts w:hint="eastAsia" w:ascii="仿宋_GB2312" w:hAnsi="仿宋" w:eastAsia="仿宋_GB2312" w:cs="仿宋_GB2312"/>
          <w:kern w:val="0"/>
          <w:sz w:val="32"/>
          <w:szCs w:val="32"/>
          <w:highlight w:val="none"/>
        </w:rPr>
        <w:t>元；</w:t>
      </w:r>
      <w:r>
        <w:rPr>
          <w:rFonts w:hint="eastAsia" w:ascii="仿宋_GB2312" w:hAnsi="仿宋" w:eastAsia="仿宋_GB2312" w:cs="宋体"/>
          <w:kern w:val="0"/>
          <w:sz w:val="32"/>
          <w:szCs w:val="32"/>
          <w:highlight w:val="none"/>
        </w:rPr>
        <w:t>2081602 一般行政管理事务1585828.68</w:t>
      </w:r>
      <w:r>
        <w:rPr>
          <w:rFonts w:hint="eastAsia" w:ascii="仿宋_GB2312" w:hAnsi="仿宋" w:eastAsia="仿宋_GB2312" w:cs="仿宋_GB2312"/>
          <w:kern w:val="0"/>
          <w:sz w:val="32"/>
          <w:szCs w:val="32"/>
          <w:highlight w:val="none"/>
        </w:rPr>
        <w:t>元；</w:t>
      </w:r>
    </w:p>
    <w:p>
      <w:pPr>
        <w:keepNext w:val="0"/>
        <w:keepLines w:val="0"/>
        <w:pageBreakBefore w:val="0"/>
        <w:kinsoku/>
        <w:wordWrap/>
        <w:overflowPunct/>
        <w:topLinePunct w:val="0"/>
        <w:autoSpaceDN/>
        <w:bidi w:val="0"/>
        <w:adjustRightInd/>
        <w:snapToGrid w:val="0"/>
        <w:spacing w:line="576" w:lineRule="exact"/>
        <w:ind w:firstLine="643" w:firstLineChars="200"/>
        <w:textAlignment w:val="auto"/>
        <w:rPr>
          <w:rFonts w:hint="eastAsia"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（二）部门财政资金支出情况</w:t>
      </w:r>
    </w:p>
    <w:p>
      <w:pPr>
        <w:keepNext w:val="0"/>
        <w:keepLines w:val="0"/>
        <w:pageBreakBefore w:val="0"/>
        <w:kinsoku/>
        <w:wordWrap/>
        <w:overflowPunct/>
        <w:topLinePunct w:val="0"/>
        <w:autoSpaceDN/>
        <w:bidi w:val="0"/>
        <w:adjustRightInd/>
        <w:snapToGrid w:val="0"/>
        <w:spacing w:line="576" w:lineRule="exact"/>
        <w:ind w:firstLine="640" w:firstLineChars="200"/>
        <w:textAlignment w:val="auto"/>
        <w:rPr>
          <w:rFonts w:hint="eastAsia" w:ascii="仿宋_GB2312" w:hAnsi="宋体" w:eastAsia="仿宋_GB2312" w:cs="宋体"/>
          <w:kern w:val="0"/>
          <w:sz w:val="32"/>
          <w:szCs w:val="32"/>
          <w:highlight w:val="none"/>
        </w:rPr>
      </w:pPr>
      <w:r>
        <w:rPr>
          <w:rFonts w:hint="eastAsia" w:ascii="仿宋_GB2312" w:hAnsi="仿宋" w:eastAsia="仿宋_GB2312"/>
          <w:sz w:val="32"/>
          <w:szCs w:val="32"/>
          <w:highlight w:val="none"/>
          <w:lang w:val="en-US" w:eastAsia="zh-CN"/>
        </w:rPr>
        <w:t>2021</w:t>
      </w:r>
      <w:r>
        <w:rPr>
          <w:rFonts w:hint="eastAsia" w:ascii="仿宋_GB2312" w:hAnsi="仿宋" w:eastAsia="仿宋_GB2312"/>
          <w:sz w:val="32"/>
          <w:szCs w:val="32"/>
          <w:highlight w:val="none"/>
        </w:rPr>
        <w:t>年总支出</w:t>
      </w:r>
      <w:r>
        <w:rPr>
          <w:rFonts w:hint="eastAsia" w:ascii="仿宋_GB2312" w:hAnsi="仿宋" w:eastAsia="仿宋_GB2312" w:cs="宋体"/>
          <w:kern w:val="0"/>
          <w:sz w:val="32"/>
          <w:szCs w:val="32"/>
          <w:highlight w:val="none"/>
        </w:rPr>
        <w:t>4589416.89</w:t>
      </w:r>
      <w:r>
        <w:rPr>
          <w:rFonts w:hint="eastAsia" w:ascii="仿宋_GB2312" w:hAnsi="仿宋" w:eastAsia="仿宋_GB2312"/>
          <w:sz w:val="32"/>
          <w:szCs w:val="32"/>
          <w:highlight w:val="none"/>
        </w:rPr>
        <w:t>元，其中：工资福利支出</w:t>
      </w:r>
      <w:r>
        <w:rPr>
          <w:rFonts w:hint="eastAsia" w:ascii="仿宋_GB2312" w:hAnsi="仿宋" w:eastAsia="仿宋_GB2312"/>
          <w:sz w:val="32"/>
          <w:szCs w:val="32"/>
          <w:highlight w:val="none"/>
          <w:lang w:val="en-US" w:eastAsia="zh-CN"/>
        </w:rPr>
        <w:t>2485384.2</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54.15</w:t>
      </w:r>
      <w:r>
        <w:rPr>
          <w:rFonts w:hint="eastAsia" w:ascii="仿宋_GB2312" w:hAnsi="宋体" w:eastAsia="仿宋_GB2312" w:cs="宋体"/>
          <w:kern w:val="0"/>
          <w:sz w:val="32"/>
          <w:szCs w:val="32"/>
          <w:highlight w:val="none"/>
        </w:rPr>
        <w:t>%；</w:t>
      </w:r>
      <w:r>
        <w:rPr>
          <w:rFonts w:hint="eastAsia" w:ascii="仿宋_GB2312" w:hAnsi="仿宋" w:eastAsia="仿宋_GB2312"/>
          <w:sz w:val="32"/>
          <w:szCs w:val="32"/>
          <w:highlight w:val="none"/>
        </w:rPr>
        <w:t>商品和服务支出</w:t>
      </w:r>
      <w:r>
        <w:rPr>
          <w:rFonts w:hint="eastAsia" w:ascii="仿宋_GB2312" w:hAnsi="仿宋" w:eastAsia="仿宋_GB2312"/>
          <w:sz w:val="32"/>
          <w:szCs w:val="32"/>
          <w:highlight w:val="none"/>
          <w:lang w:val="en-US" w:eastAsia="zh-CN"/>
        </w:rPr>
        <w:t>1226373.69</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26.7</w:t>
      </w:r>
      <w:r>
        <w:rPr>
          <w:rFonts w:hint="eastAsia" w:ascii="仿宋_GB2312" w:hAnsi="宋体" w:eastAsia="仿宋_GB2312" w:cs="宋体"/>
          <w:kern w:val="0"/>
          <w:sz w:val="32"/>
          <w:szCs w:val="32"/>
          <w:highlight w:val="none"/>
        </w:rPr>
        <w:t>%；</w:t>
      </w:r>
      <w:r>
        <w:rPr>
          <w:rFonts w:hint="eastAsia" w:ascii="仿宋_GB2312" w:hAnsi="仿宋" w:eastAsia="仿宋_GB2312"/>
          <w:sz w:val="32"/>
          <w:szCs w:val="32"/>
          <w:highlight w:val="none"/>
        </w:rPr>
        <w:t>对家庭和个人补助支出</w:t>
      </w:r>
      <w:r>
        <w:rPr>
          <w:rFonts w:hint="eastAsia" w:ascii="仿宋_GB2312" w:hAnsi="仿宋" w:eastAsia="仿宋_GB2312"/>
          <w:sz w:val="32"/>
          <w:szCs w:val="32"/>
          <w:highlight w:val="none"/>
          <w:lang w:val="en-US" w:eastAsia="zh-CN"/>
        </w:rPr>
        <w:t>429059</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9.35</w:t>
      </w:r>
      <w:r>
        <w:rPr>
          <w:rFonts w:hint="eastAsia" w:ascii="仿宋_GB2312" w:hAnsi="宋体" w:eastAsia="仿宋_GB2312" w:cs="宋体"/>
          <w:kern w:val="0"/>
          <w:sz w:val="32"/>
          <w:szCs w:val="32"/>
          <w:highlight w:val="none"/>
        </w:rPr>
        <w:t>%；</w:t>
      </w:r>
      <w:r>
        <w:rPr>
          <w:rFonts w:hint="eastAsia" w:ascii="仿宋_GB2312" w:hAnsi="仿宋" w:eastAsia="仿宋_GB2312"/>
          <w:sz w:val="32"/>
          <w:szCs w:val="32"/>
          <w:highlight w:val="none"/>
        </w:rPr>
        <w:t>资本性支出</w:t>
      </w:r>
      <w:r>
        <w:rPr>
          <w:rFonts w:hint="eastAsia" w:ascii="仿宋_GB2312" w:hAnsi="仿宋" w:eastAsia="仿宋_GB2312"/>
          <w:sz w:val="32"/>
          <w:szCs w:val="32"/>
          <w:highlight w:val="none"/>
          <w:lang w:val="en-US" w:eastAsia="zh-CN"/>
        </w:rPr>
        <w:t>448600</w:t>
      </w:r>
      <w:r>
        <w:rPr>
          <w:rFonts w:hint="eastAsia" w:ascii="仿宋_GB2312" w:hAnsi="仿宋" w:eastAsia="仿宋_GB2312"/>
          <w:sz w:val="32"/>
          <w:szCs w:val="32"/>
          <w:highlight w:val="none"/>
        </w:rPr>
        <w:t>元，</w:t>
      </w:r>
      <w:r>
        <w:rPr>
          <w:rFonts w:hint="eastAsia" w:ascii="仿宋_GB2312" w:hAnsi="宋体" w:eastAsia="仿宋_GB2312" w:cs="宋体"/>
          <w:kern w:val="0"/>
          <w:sz w:val="32"/>
          <w:szCs w:val="32"/>
          <w:highlight w:val="none"/>
        </w:rPr>
        <w:t>占支出的</w:t>
      </w:r>
      <w:r>
        <w:rPr>
          <w:rFonts w:hint="eastAsia" w:ascii="仿宋_GB2312" w:hAnsi="宋体" w:eastAsia="仿宋_GB2312" w:cs="宋体"/>
          <w:kern w:val="0"/>
          <w:sz w:val="32"/>
          <w:szCs w:val="32"/>
          <w:highlight w:val="none"/>
          <w:lang w:val="en-US" w:eastAsia="zh-CN"/>
        </w:rPr>
        <w:t>9.8</w:t>
      </w:r>
      <w:r>
        <w:rPr>
          <w:rFonts w:hint="eastAsia" w:ascii="仿宋_GB2312" w:hAnsi="宋体" w:eastAsia="仿宋_GB2312" w:cs="宋体"/>
          <w:kern w:val="0"/>
          <w:sz w:val="32"/>
          <w:szCs w:val="32"/>
          <w:highlight w:val="none"/>
        </w:rPr>
        <w:t>%。</w:t>
      </w:r>
    </w:p>
    <w:p>
      <w:pPr>
        <w:keepNext w:val="0"/>
        <w:keepLines w:val="0"/>
        <w:pageBreakBefore w:val="0"/>
        <w:numPr>
          <w:ilvl w:val="0"/>
          <w:numId w:val="4"/>
        </w:numPr>
        <w:kinsoku/>
        <w:wordWrap/>
        <w:overflowPunct/>
        <w:topLinePunct w:val="0"/>
        <w:autoSpaceDN/>
        <w:bidi w:val="0"/>
        <w:adjustRightInd/>
        <w:spacing w:line="576"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部门整体预算绩效管理情况（得分</w:t>
      </w:r>
      <w:r>
        <w:rPr>
          <w:rFonts w:hint="eastAsia" w:ascii="黑体" w:hAnsi="宋体" w:eastAsia="黑体" w:cs="宋体"/>
          <w:kern w:val="0"/>
          <w:sz w:val="32"/>
          <w:szCs w:val="32"/>
          <w:lang w:val="en-US" w:eastAsia="zh-CN"/>
        </w:rPr>
        <w:t>89.8</w:t>
      </w:r>
      <w:r>
        <w:rPr>
          <w:rFonts w:hint="eastAsia" w:ascii="黑体" w:hAnsi="宋体" w:eastAsia="黑体" w:cs="宋体"/>
          <w:kern w:val="0"/>
          <w:sz w:val="32"/>
          <w:szCs w:val="32"/>
        </w:rPr>
        <w:t>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（一）预算编制情况（得分</w:t>
      </w:r>
      <w:r>
        <w:rPr>
          <w:rFonts w:hint="eastAsia" w:ascii="楷体_GB2312" w:hAnsi="宋体" w:eastAsia="楷体_GB2312" w:cs="宋体"/>
          <w:b/>
          <w:kern w:val="0"/>
          <w:sz w:val="32"/>
          <w:szCs w:val="32"/>
          <w:lang w:val="en-US" w:eastAsia="zh-CN"/>
        </w:rPr>
        <w:t>24</w:t>
      </w:r>
      <w:r>
        <w:rPr>
          <w:rFonts w:hint="eastAsia" w:ascii="楷体_GB2312" w:hAnsi="宋体" w:eastAsia="楷体_GB2312" w:cs="宋体"/>
          <w:b/>
          <w:kern w:val="0"/>
          <w:sz w:val="32"/>
          <w:szCs w:val="32"/>
        </w:rPr>
        <w:t>分）</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严格按照预算编制要求，准确、及时、完整的完成预算编制并提交部门预算草案。预算编制中，特别注意对预算编制准确性的把握，并严格按照要求进行预算执行调整，确保预算执行到位，加快执行进度。按照预算编制要求合理、完整的编制部门预算整体绩效目标及项目绩效目标。</w:t>
      </w:r>
    </w:p>
    <w:p>
      <w:pPr>
        <w:keepNext w:val="0"/>
        <w:keepLines w:val="0"/>
        <w:pageBreakBefore w:val="0"/>
        <w:kinsoku/>
        <w:wordWrap/>
        <w:overflowPunct/>
        <w:topLinePunct w:val="0"/>
        <w:autoSpaceDN/>
        <w:bidi w:val="0"/>
        <w:adjustRightInd/>
        <w:spacing w:line="576" w:lineRule="exact"/>
        <w:ind w:firstLine="643"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w:t>
      </w:r>
      <w:r>
        <w:rPr>
          <w:rFonts w:hint="eastAsia" w:ascii="楷体_GB2312" w:hAnsi="宋体" w:eastAsia="楷体_GB2312" w:cs="宋体"/>
          <w:b/>
          <w:kern w:val="0"/>
          <w:sz w:val="32"/>
          <w:szCs w:val="32"/>
          <w:lang w:val="en-US" w:eastAsia="zh-CN"/>
        </w:rPr>
        <w:t>预算</w:t>
      </w:r>
      <w:r>
        <w:rPr>
          <w:rFonts w:hint="eastAsia" w:ascii="楷体_GB2312" w:hAnsi="宋体" w:eastAsia="楷体_GB2312" w:cs="宋体"/>
          <w:b/>
          <w:kern w:val="0"/>
          <w:sz w:val="32"/>
          <w:szCs w:val="32"/>
        </w:rPr>
        <w:t>执行情况（得分</w:t>
      </w:r>
      <w:r>
        <w:rPr>
          <w:rFonts w:hint="eastAsia" w:ascii="楷体_GB2312" w:hAnsi="宋体" w:eastAsia="楷体_GB2312" w:cs="宋体"/>
          <w:b/>
          <w:kern w:val="0"/>
          <w:sz w:val="32"/>
          <w:szCs w:val="32"/>
          <w:lang w:val="en-US" w:eastAsia="zh-CN"/>
        </w:rPr>
        <w:t>19.8</w:t>
      </w:r>
      <w:r>
        <w:rPr>
          <w:rFonts w:hint="eastAsia" w:ascii="楷体_GB2312" w:hAnsi="宋体" w:eastAsia="楷体_GB2312" w:cs="宋体"/>
          <w:b/>
          <w:kern w:val="0"/>
          <w:sz w:val="32"/>
          <w:szCs w:val="32"/>
        </w:rPr>
        <w:t>分）</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按照要求严格预算执行管理，按照“厉行节约、反对浪费”的规定，严格控制“三公”经费支出，加强了机关水、电、公务用车管理，努力降低水、电及车辆燃修费用。</w:t>
      </w:r>
    </w:p>
    <w:p>
      <w:pPr>
        <w:keepNext w:val="0"/>
        <w:keepLines w:val="0"/>
        <w:pageBreakBefore w:val="0"/>
        <w:widowControl/>
        <w:numPr>
          <w:ilvl w:val="0"/>
          <w:numId w:val="5"/>
        </w:numPr>
        <w:kinsoku/>
        <w:wordWrap/>
        <w:overflowPunct/>
        <w:topLinePunct w:val="0"/>
        <w:autoSpaceDN/>
        <w:bidi w:val="0"/>
        <w:adjustRightInd/>
        <w:spacing w:line="576" w:lineRule="exact"/>
        <w:ind w:firstLine="803" w:firstLineChars="250"/>
        <w:jc w:val="left"/>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lang w:val="en-US" w:eastAsia="zh-CN"/>
        </w:rPr>
        <w:t>完成结果</w:t>
      </w:r>
      <w:r>
        <w:rPr>
          <w:rFonts w:hint="eastAsia" w:ascii="楷体_GB2312" w:hAnsi="宋体" w:eastAsia="楷体_GB2312" w:cs="宋体"/>
          <w:b/>
          <w:kern w:val="0"/>
          <w:sz w:val="32"/>
          <w:szCs w:val="32"/>
        </w:rPr>
        <w:t>情况（得分</w:t>
      </w:r>
      <w:r>
        <w:rPr>
          <w:rFonts w:hint="eastAsia" w:ascii="楷体_GB2312" w:hAnsi="宋体" w:eastAsia="楷体_GB2312" w:cs="宋体"/>
          <w:b/>
          <w:kern w:val="0"/>
          <w:sz w:val="32"/>
          <w:szCs w:val="32"/>
          <w:lang w:val="en-US" w:eastAsia="zh-CN"/>
        </w:rPr>
        <w:t>16</w:t>
      </w:r>
      <w:r>
        <w:rPr>
          <w:rFonts w:hint="eastAsia" w:ascii="楷体_GB2312" w:hAnsi="宋体" w:eastAsia="楷体_GB2312" w:cs="宋体"/>
          <w:b/>
          <w:kern w:val="0"/>
          <w:sz w:val="32"/>
          <w:szCs w:val="32"/>
        </w:rPr>
        <w:t>）</w:t>
      </w:r>
    </w:p>
    <w:p>
      <w:pPr>
        <w:keepNext w:val="0"/>
        <w:keepLines w:val="0"/>
        <w:pageBreakBefore w:val="0"/>
        <w:widowControl/>
        <w:numPr>
          <w:ilvl w:val="0"/>
          <w:numId w:val="0"/>
        </w:numPr>
        <w:kinsoku/>
        <w:wordWrap/>
        <w:overflowPunct/>
        <w:topLinePunct w:val="0"/>
        <w:autoSpaceDN/>
        <w:bidi w:val="0"/>
        <w:adjustRightInd/>
        <w:spacing w:line="576" w:lineRule="exact"/>
        <w:ind w:firstLine="640" w:firstLineChars="20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预算支出在保障本部门工作运转、履行职能职责上整体情况良好。预算编制比较精确、合理，预算支出严格落实中央“八项”规定等厉行节约，反对浪费规定要求，加强三公经费支出管理，动态优化了年度预算安排，保障了经费高效运转。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w:t>
      </w:r>
      <w:r>
        <w:rPr>
          <w:rFonts w:hint="eastAsia" w:ascii="仿宋_GB2312" w:eastAsia="仿宋_GB2312"/>
          <w:sz w:val="32"/>
          <w:szCs w:val="32"/>
        </w:rPr>
        <w:t>无因公出国（境）经费支出，</w:t>
      </w:r>
      <w:r>
        <w:rPr>
          <w:rFonts w:hint="eastAsia" w:ascii="仿宋_GB2312" w:eastAsia="仿宋_GB2312"/>
          <w:sz w:val="32"/>
          <w:szCs w:val="32"/>
          <w:highlight w:val="none"/>
        </w:rPr>
        <w:t>公务接待费支出</w:t>
      </w:r>
      <w:r>
        <w:rPr>
          <w:rFonts w:hint="eastAsia" w:ascii="仿宋_GB2312" w:eastAsia="仿宋_GB2312"/>
          <w:sz w:val="32"/>
          <w:szCs w:val="32"/>
          <w:highlight w:val="none"/>
          <w:lang w:val="en-US" w:eastAsia="zh-CN"/>
        </w:rPr>
        <w:t>1104</w:t>
      </w:r>
      <w:r>
        <w:rPr>
          <w:rFonts w:hint="eastAsia" w:ascii="仿宋_GB2312" w:eastAsia="仿宋_GB2312"/>
          <w:sz w:val="32"/>
          <w:szCs w:val="32"/>
          <w:highlight w:val="none"/>
        </w:rPr>
        <w:t>元，公务用车运行维护费支出149064.9元。</w:t>
      </w:r>
      <w:r>
        <w:rPr>
          <w:rFonts w:hint="eastAsia" w:ascii="仿宋_GB2312" w:hAnsi="宋体" w:eastAsia="仿宋_GB2312" w:cs="宋体"/>
          <w:kern w:val="0"/>
          <w:sz w:val="32"/>
          <w:szCs w:val="32"/>
          <w:highlight w:val="none"/>
        </w:rPr>
        <w:t>各</w:t>
      </w:r>
      <w:r>
        <w:rPr>
          <w:rFonts w:hint="eastAsia" w:ascii="仿宋_GB2312" w:hAnsi="宋体" w:eastAsia="仿宋_GB2312" w:cs="宋体"/>
          <w:kern w:val="0"/>
          <w:sz w:val="32"/>
          <w:szCs w:val="32"/>
        </w:rPr>
        <w:t>项目经费严格按照轻重缓急的要求保证和使用，开展了常规的“防灾避险、救护培训”</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“红十字博爱家园”、“红十字青少年活动”、</w:t>
      </w:r>
      <w:r>
        <w:rPr>
          <w:rFonts w:hint="eastAsia" w:ascii="仿宋_GB2312" w:hAnsi="Book Antiqua" w:eastAsia="仿宋_GB2312"/>
          <w:sz w:val="32"/>
          <w:szCs w:val="32"/>
        </w:rPr>
        <w:t xml:space="preserve"> </w:t>
      </w:r>
      <w:r>
        <w:rPr>
          <w:rFonts w:hint="eastAsia" w:ascii="仿宋_GB2312" w:hAnsi="Book Antiqua" w:eastAsia="仿宋_GB2312"/>
          <w:sz w:val="32"/>
          <w:szCs w:val="32"/>
          <w:lang w:eastAsia="zh-CN"/>
        </w:rPr>
        <w:t>“</w:t>
      </w:r>
      <w:r>
        <w:rPr>
          <w:rFonts w:hint="eastAsia" w:ascii="仿宋_GB2312" w:hAnsi="Book Antiqua" w:eastAsia="仿宋_GB2312"/>
          <w:sz w:val="32"/>
          <w:szCs w:val="32"/>
        </w:rPr>
        <w:t>红十字人道救助</w:t>
      </w:r>
      <w:r>
        <w:rPr>
          <w:rFonts w:hint="eastAsia" w:ascii="仿宋_GB2312" w:hAnsi="Book Antiqua" w:eastAsia="仿宋_GB2312"/>
          <w:sz w:val="32"/>
          <w:szCs w:val="32"/>
          <w:lang w:eastAsia="zh-CN"/>
        </w:rPr>
        <w:t>”、阿坝州备灾应急中心维修（护）、物资运输、仓储及管理等运行、应急救援队专项、组织志愿者培训及队伍建设、  驻村人员生活补助</w:t>
      </w:r>
      <w:r>
        <w:rPr>
          <w:rFonts w:hint="eastAsia" w:ascii="仿宋_GB2312" w:hAnsi="宋体" w:eastAsia="仿宋_GB2312" w:cs="宋体"/>
          <w:kern w:val="0"/>
          <w:sz w:val="32"/>
          <w:szCs w:val="32"/>
        </w:rPr>
        <w:t>等项目，大力宣传了红十字会的职能，提高了群众及青少年对红十字会的了解，提升了各级群众应急、救灾、救护的能力</w:t>
      </w:r>
      <w:r>
        <w:rPr>
          <w:rFonts w:hint="eastAsia" w:ascii="仿宋_GB2312" w:hAnsi="宋体" w:eastAsia="仿宋_GB2312" w:cs="宋体"/>
          <w:kern w:val="0"/>
          <w:sz w:val="32"/>
          <w:szCs w:val="32"/>
          <w:lang w:eastAsia="zh-CN"/>
        </w:rPr>
        <w:t>。</w:t>
      </w:r>
    </w:p>
    <w:p>
      <w:pPr>
        <w:keepNext w:val="0"/>
        <w:keepLines w:val="0"/>
        <w:pageBreakBefore w:val="0"/>
        <w:numPr>
          <w:ilvl w:val="0"/>
          <w:numId w:val="5"/>
        </w:numPr>
        <w:kinsoku/>
        <w:wordWrap/>
        <w:overflowPunct/>
        <w:topLinePunct w:val="0"/>
        <w:autoSpaceDN/>
        <w:bidi w:val="0"/>
        <w:adjustRightInd/>
        <w:spacing w:line="576" w:lineRule="exact"/>
        <w:ind w:left="0" w:leftChars="0" w:firstLine="803" w:firstLineChars="250"/>
        <w:textAlignment w:val="auto"/>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绩效结果应用情况（10分）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通过整体支出绩效自查，考评，根据绩效考评结果，我会进一步细化科学合理的绩效评价指标、评价标准和评价方法，对项目资金的经济性、效率性和效益性进行客观、公正的评价，</w:t>
      </w:r>
      <w:r>
        <w:rPr>
          <w:rFonts w:hint="eastAsia" w:ascii="仿宋_GB2312" w:hAnsi="宋体" w:eastAsia="仿宋_GB2312" w:cs="宋体"/>
          <w:kern w:val="0"/>
          <w:sz w:val="32"/>
          <w:szCs w:val="32"/>
        </w:rPr>
        <w:t>严格按照国家的法律法规加强预算管理</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大力提倡勤俭节约，坚持把有限的经费用在</w:t>
      </w:r>
      <w:r>
        <w:rPr>
          <w:rFonts w:hint="eastAsia" w:ascii="仿宋_GB2312" w:hAnsi="宋体" w:eastAsia="仿宋_GB2312" w:cs="宋体"/>
          <w:kern w:val="0"/>
          <w:sz w:val="32"/>
          <w:szCs w:val="32"/>
          <w:lang w:val="en-US" w:eastAsia="zh-CN"/>
        </w:rPr>
        <w:t>易受损人群和</w:t>
      </w:r>
      <w:r>
        <w:rPr>
          <w:rFonts w:hint="eastAsia" w:ascii="仿宋_GB2312" w:hAnsi="宋体" w:eastAsia="仿宋_GB2312" w:cs="宋体"/>
          <w:kern w:val="0"/>
          <w:sz w:val="32"/>
          <w:szCs w:val="32"/>
        </w:rPr>
        <w:t>红十字</w:t>
      </w:r>
      <w:r>
        <w:rPr>
          <w:rFonts w:hint="eastAsia" w:ascii="仿宋_GB2312" w:hAnsi="宋体" w:eastAsia="仿宋_GB2312" w:cs="宋体"/>
          <w:kern w:val="0"/>
          <w:sz w:val="32"/>
          <w:szCs w:val="32"/>
          <w:lang w:val="en-US" w:eastAsia="zh-CN"/>
        </w:rPr>
        <w:t>事业发展</w:t>
      </w:r>
      <w:r>
        <w:rPr>
          <w:rFonts w:hint="eastAsia" w:ascii="仿宋_GB2312" w:hAnsi="宋体" w:eastAsia="仿宋_GB2312" w:cs="宋体"/>
          <w:kern w:val="0"/>
          <w:sz w:val="32"/>
          <w:szCs w:val="32"/>
        </w:rPr>
        <w:t>活动</w:t>
      </w:r>
      <w:r>
        <w:rPr>
          <w:rFonts w:hint="eastAsia" w:ascii="仿宋_GB2312" w:hAnsi="宋体" w:eastAsia="仿宋_GB2312" w:cs="宋体"/>
          <w:kern w:val="0"/>
          <w:sz w:val="32"/>
          <w:szCs w:val="32"/>
          <w:lang w:val="en-US" w:eastAsia="zh-CN"/>
        </w:rPr>
        <w:t>中</w:t>
      </w:r>
      <w:r>
        <w:rPr>
          <w:rFonts w:hint="eastAsia" w:ascii="仿宋_GB2312" w:hAnsi="宋体" w:eastAsia="仿宋_GB2312" w:cs="宋体"/>
          <w:kern w:val="0"/>
          <w:sz w:val="32"/>
          <w:szCs w:val="32"/>
        </w:rPr>
        <w:t>；坚持财政预算管理制度，做好预算支出及执行情况调度，财政供养人员控制在预算编制以内，“三公”经费预算支出在控制数内；严格财经纪律，严格财务制度，坚持先有预算、后有支出</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spacing w:val="0"/>
          <w:sz w:val="32"/>
          <w:szCs w:val="32"/>
          <w:lang w:val="en-US" w:eastAsia="zh-CN"/>
        </w:rPr>
        <w:t>争取项目绩效评价覆盖率达到100%。</w:t>
      </w:r>
    </w:p>
    <w:p>
      <w:pPr>
        <w:keepNext w:val="0"/>
        <w:keepLines w:val="0"/>
        <w:pageBreakBefore w:val="0"/>
        <w:numPr>
          <w:ilvl w:val="0"/>
          <w:numId w:val="5"/>
        </w:numPr>
        <w:kinsoku/>
        <w:wordWrap/>
        <w:overflowPunct/>
        <w:topLinePunct w:val="0"/>
        <w:autoSpaceDN/>
        <w:bidi w:val="0"/>
        <w:adjustRightInd/>
        <w:spacing w:line="576" w:lineRule="exact"/>
        <w:ind w:left="0" w:leftChars="0" w:firstLine="803" w:firstLineChars="250"/>
        <w:textAlignment w:val="auto"/>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专项预算管理（20分）</w:t>
      </w:r>
    </w:p>
    <w:p>
      <w:pPr>
        <w:keepNext w:val="0"/>
        <w:keepLines w:val="0"/>
        <w:pageBreakBefore w:val="0"/>
        <w:numPr>
          <w:ilvl w:val="0"/>
          <w:numId w:val="0"/>
        </w:numPr>
        <w:kinsoku/>
        <w:wordWrap/>
        <w:overflowPunct/>
        <w:topLinePunct w:val="0"/>
        <w:autoSpaceDN/>
        <w:bidi w:val="0"/>
        <w:adjustRightInd/>
        <w:spacing w:line="576" w:lineRule="exact"/>
        <w:ind w:leftChars="250"/>
        <w:textAlignment w:val="auto"/>
        <w:rPr>
          <w:rFonts w:hint="default" w:ascii="仿宋_GB2312" w:hAnsi="宋体" w:eastAsia="仿宋_GB2312" w:cs="宋体"/>
          <w:kern w:val="0"/>
          <w:sz w:val="32"/>
          <w:szCs w:val="32"/>
          <w:lang w:val="en-US" w:eastAsia="zh-CN"/>
        </w:rPr>
      </w:pPr>
      <w:r>
        <w:rPr>
          <w:rFonts w:hint="eastAsia" w:ascii="楷体_GB2312" w:hAnsi="宋体" w:eastAsia="楷体_GB2312" w:cs="宋体"/>
          <w:b/>
          <w:kern w:val="0"/>
          <w:sz w:val="32"/>
          <w:szCs w:val="32"/>
          <w:lang w:val="en-US" w:eastAsia="zh-CN"/>
        </w:rPr>
        <w:t xml:space="preserve">   </w:t>
      </w:r>
      <w:r>
        <w:rPr>
          <w:rFonts w:hint="eastAsia" w:ascii="仿宋_GB2312" w:hAnsi="宋体" w:eastAsia="仿宋_GB2312" w:cs="宋体"/>
          <w:kern w:val="0"/>
          <w:sz w:val="32"/>
          <w:szCs w:val="32"/>
          <w:lang w:val="en-US" w:eastAsia="zh-CN"/>
        </w:rPr>
        <w:t>我会按照要求进行自评打分，形成自评报告。</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四、评价结论及建议</w:t>
      </w:r>
    </w:p>
    <w:p>
      <w:pPr>
        <w:keepNext w:val="0"/>
        <w:keepLines w:val="0"/>
        <w:pageBreakBefore w:val="0"/>
        <w:kinsoku/>
        <w:wordWrap/>
        <w:overflowPunct/>
        <w:topLinePunct w:val="0"/>
        <w:autoSpaceDN/>
        <w:bidi w:val="0"/>
        <w:adjustRightInd/>
        <w:spacing w:line="576" w:lineRule="exact"/>
        <w:ind w:firstLine="643"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（一）评价结论</w:t>
      </w:r>
    </w:p>
    <w:p>
      <w:pPr>
        <w:keepNext w:val="0"/>
        <w:keepLines w:val="0"/>
        <w:pageBreakBefore w:val="0"/>
        <w:kinsoku/>
        <w:wordWrap/>
        <w:overflowPunct/>
        <w:topLinePunct w:val="0"/>
        <w:autoSpaceDN/>
        <w:bidi w:val="0"/>
        <w:adjustRightInd/>
        <w:snapToGrid w:val="0"/>
        <w:spacing w:line="576" w:lineRule="exact"/>
        <w:ind w:firstLine="640" w:firstLineChars="200"/>
        <w:textAlignment w:val="auto"/>
        <w:rPr>
          <w:rFonts w:hint="eastAsia" w:ascii="仿宋_GB2312" w:hAnsi="仿宋" w:eastAsia="仿宋_GB2312"/>
          <w:sz w:val="32"/>
          <w:szCs w:val="32"/>
        </w:rPr>
      </w:pPr>
      <w:r>
        <w:rPr>
          <w:rFonts w:hint="eastAsia" w:ascii="仿宋_GB2312" w:hAnsi="宋体" w:eastAsia="仿宋_GB2312" w:cs="宋体"/>
          <w:kern w:val="0"/>
          <w:sz w:val="32"/>
          <w:szCs w:val="32"/>
        </w:rPr>
        <w:t>按照国家政策法规规定，结合本部门的实际情况，建立健全了财务管理制度和约束机制，依法、有效地使用财政资金，提高财政资金使用效率，合理分配人、财、物，完成了部门职能目标，实现了较高的工作效率和支出绩效。</w:t>
      </w:r>
      <w:r>
        <w:rPr>
          <w:rFonts w:hint="eastAsia" w:ascii="仿宋_GB2312" w:hAnsi="仿宋" w:eastAsia="仿宋_GB2312"/>
          <w:sz w:val="32"/>
          <w:szCs w:val="32"/>
        </w:rPr>
        <w:t>我会在上级主管部门和州财政局的指导监督下，</w:t>
      </w:r>
      <w:r>
        <w:rPr>
          <w:rFonts w:hint="eastAsia" w:ascii="仿宋_GB2312" w:hAnsi="仿宋" w:eastAsia="仿宋_GB2312"/>
          <w:b/>
          <w:sz w:val="32"/>
          <w:szCs w:val="32"/>
        </w:rPr>
        <w:t>一是</w:t>
      </w:r>
      <w:r>
        <w:rPr>
          <w:rFonts w:hint="eastAsia" w:ascii="仿宋_GB2312" w:hAnsi="仿宋" w:eastAsia="仿宋_GB2312"/>
          <w:sz w:val="32"/>
          <w:szCs w:val="32"/>
        </w:rPr>
        <w:t>提高了专款专用能力，加强了项目资金使用范围的控制；</w:t>
      </w:r>
      <w:r>
        <w:rPr>
          <w:rFonts w:hint="eastAsia" w:ascii="仿宋_GB2312" w:hAnsi="仿宋" w:eastAsia="仿宋_GB2312"/>
          <w:b/>
          <w:sz w:val="32"/>
          <w:szCs w:val="32"/>
        </w:rPr>
        <w:t>二是</w:t>
      </w:r>
      <w:r>
        <w:rPr>
          <w:rFonts w:hint="eastAsia" w:ascii="仿宋_GB2312" w:hAnsi="仿宋" w:eastAsia="仿宋_GB2312"/>
          <w:sz w:val="32"/>
          <w:szCs w:val="32"/>
        </w:rPr>
        <w:t>财务管理规范</w:t>
      </w:r>
      <w:r>
        <w:rPr>
          <w:rFonts w:hint="eastAsia" w:ascii="仿宋_GB2312" w:hAnsi="仿宋" w:eastAsia="仿宋_GB2312"/>
          <w:sz w:val="32"/>
          <w:szCs w:val="32"/>
          <w:lang w:val="en-US" w:eastAsia="zh-CN"/>
        </w:rPr>
        <w:t>有效</w:t>
      </w:r>
      <w:r>
        <w:rPr>
          <w:rFonts w:hint="eastAsia" w:ascii="仿宋_GB2312" w:hAnsi="仿宋" w:eastAsia="仿宋_GB2312"/>
          <w:sz w:val="32"/>
          <w:szCs w:val="32"/>
        </w:rPr>
        <w:t>；</w:t>
      </w:r>
      <w:r>
        <w:rPr>
          <w:rFonts w:hint="eastAsia" w:ascii="仿宋_GB2312" w:hAnsi="仿宋" w:eastAsia="仿宋_GB2312"/>
          <w:b/>
          <w:sz w:val="32"/>
          <w:szCs w:val="32"/>
        </w:rPr>
        <w:t>三是</w:t>
      </w:r>
      <w:r>
        <w:rPr>
          <w:rFonts w:hint="eastAsia" w:ascii="仿宋_GB2312" w:hAnsi="仿宋" w:eastAsia="仿宋_GB2312"/>
          <w:sz w:val="32"/>
          <w:szCs w:val="32"/>
        </w:rPr>
        <w:t>工作效率</w:t>
      </w:r>
      <w:r>
        <w:rPr>
          <w:rFonts w:hint="eastAsia" w:ascii="仿宋_GB2312" w:hAnsi="仿宋" w:eastAsia="仿宋_GB2312"/>
          <w:sz w:val="32"/>
          <w:szCs w:val="32"/>
          <w:lang w:val="en-US" w:eastAsia="zh-CN"/>
        </w:rPr>
        <w:t>高</w:t>
      </w:r>
      <w:r>
        <w:rPr>
          <w:rFonts w:hint="eastAsia" w:ascii="仿宋_GB2312" w:hAnsi="仿宋" w:eastAsia="仿宋_GB2312"/>
          <w:sz w:val="32"/>
          <w:szCs w:val="32"/>
        </w:rPr>
        <w:t>；工作流程规范，财务账目清楚，</w:t>
      </w:r>
      <w:r>
        <w:rPr>
          <w:rFonts w:hint="eastAsia" w:ascii="仿宋_GB2312" w:hAnsi="仿宋" w:eastAsia="仿宋_GB2312"/>
          <w:sz w:val="32"/>
          <w:szCs w:val="32"/>
          <w:lang w:val="en-US" w:eastAsia="zh-CN"/>
        </w:rPr>
        <w:t>确保</w:t>
      </w:r>
      <w:r>
        <w:rPr>
          <w:rFonts w:hint="eastAsia" w:ascii="仿宋_GB2312" w:hAnsi="仿宋" w:eastAsia="仿宋_GB2312"/>
          <w:sz w:val="32"/>
          <w:szCs w:val="32"/>
        </w:rPr>
        <w:t>数据的准确性；</w:t>
      </w:r>
      <w:r>
        <w:rPr>
          <w:rFonts w:hint="eastAsia" w:ascii="仿宋_GB2312" w:hAnsi="仿宋" w:eastAsia="仿宋_GB2312"/>
          <w:b/>
          <w:sz w:val="32"/>
          <w:szCs w:val="32"/>
        </w:rPr>
        <w:t>四是</w:t>
      </w:r>
      <w:r>
        <w:rPr>
          <w:rFonts w:hint="eastAsia" w:ascii="仿宋_GB2312" w:hAnsi="仿宋" w:eastAsia="仿宋_GB2312"/>
          <w:sz w:val="32"/>
          <w:szCs w:val="32"/>
        </w:rPr>
        <w:t>规范了会计核算，统一了核算口径，会计信息</w:t>
      </w:r>
      <w:r>
        <w:rPr>
          <w:rFonts w:hint="eastAsia" w:ascii="仿宋_GB2312" w:hAnsi="仿宋" w:eastAsia="仿宋_GB2312"/>
          <w:sz w:val="32"/>
          <w:szCs w:val="32"/>
          <w:lang w:val="en-US" w:eastAsia="zh-CN"/>
        </w:rPr>
        <w:t>确保</w:t>
      </w:r>
      <w:r>
        <w:rPr>
          <w:rFonts w:hint="eastAsia" w:ascii="仿宋_GB2312" w:hAnsi="仿宋" w:eastAsia="仿宋_GB2312"/>
          <w:sz w:val="32"/>
          <w:szCs w:val="32"/>
        </w:rPr>
        <w:t>质量，对会计档案规范</w:t>
      </w:r>
      <w:r>
        <w:rPr>
          <w:rFonts w:hint="eastAsia" w:ascii="仿宋_GB2312" w:hAnsi="仿宋" w:eastAsia="仿宋_GB2312"/>
          <w:sz w:val="32"/>
          <w:szCs w:val="32"/>
          <w:lang w:val="en-US" w:eastAsia="zh-CN"/>
        </w:rPr>
        <w:t>管理</w:t>
      </w:r>
      <w:r>
        <w:rPr>
          <w:rFonts w:hint="eastAsia" w:ascii="仿宋_GB2312" w:hAnsi="仿宋" w:eastAsia="仿宋_GB2312"/>
          <w:sz w:val="32"/>
          <w:szCs w:val="32"/>
        </w:rPr>
        <w:t>；</w:t>
      </w:r>
      <w:r>
        <w:rPr>
          <w:rFonts w:hint="eastAsia" w:ascii="仿宋_GB2312" w:hAnsi="仿宋" w:eastAsia="仿宋_GB2312"/>
          <w:b/>
          <w:sz w:val="32"/>
          <w:szCs w:val="32"/>
        </w:rPr>
        <w:t>五是</w:t>
      </w:r>
      <w:r>
        <w:rPr>
          <w:rFonts w:hint="eastAsia" w:ascii="仿宋_GB2312" w:hAnsi="仿宋" w:eastAsia="仿宋_GB2312"/>
          <w:sz w:val="32"/>
          <w:szCs w:val="32"/>
        </w:rPr>
        <w:t>严格控制非必要支出，集中财力办大事。</w:t>
      </w:r>
    </w:p>
    <w:p>
      <w:pPr>
        <w:keepNext w:val="0"/>
        <w:keepLines w:val="0"/>
        <w:pageBreakBefore w:val="0"/>
        <w:kinsoku/>
        <w:wordWrap/>
        <w:overflowPunct/>
        <w:topLinePunct w:val="0"/>
        <w:autoSpaceDN/>
        <w:bidi w:val="0"/>
        <w:adjustRightInd/>
        <w:spacing w:line="576" w:lineRule="exact"/>
        <w:ind w:firstLine="643"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（二）存在问题</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按照单位工作要求，</w:t>
      </w:r>
      <w:r>
        <w:rPr>
          <w:rFonts w:hint="eastAsia" w:ascii="仿宋_GB2312" w:hAnsi="宋体" w:eastAsia="仿宋_GB2312" w:cs="宋体"/>
          <w:kern w:val="0"/>
          <w:sz w:val="32"/>
          <w:szCs w:val="32"/>
        </w:rPr>
        <w:t>部分</w:t>
      </w:r>
      <w:r>
        <w:rPr>
          <w:rFonts w:hint="eastAsia" w:ascii="仿宋_GB2312" w:hAnsi="宋体" w:eastAsia="仿宋_GB2312" w:cs="宋体"/>
          <w:kern w:val="0"/>
          <w:sz w:val="32"/>
          <w:szCs w:val="32"/>
          <w:lang w:val="en-US" w:eastAsia="zh-CN"/>
        </w:rPr>
        <w:t>专项</w:t>
      </w:r>
      <w:r>
        <w:rPr>
          <w:rFonts w:hint="eastAsia" w:ascii="仿宋_GB2312" w:hAnsi="宋体" w:eastAsia="仿宋_GB2312" w:cs="宋体"/>
          <w:kern w:val="0"/>
          <w:sz w:val="32"/>
          <w:szCs w:val="32"/>
        </w:rPr>
        <w:t>资金</w:t>
      </w:r>
      <w:r>
        <w:rPr>
          <w:rFonts w:hint="eastAsia" w:ascii="仿宋_GB2312" w:hAnsi="宋体" w:eastAsia="仿宋_GB2312" w:cs="宋体"/>
          <w:kern w:val="0"/>
          <w:sz w:val="32"/>
          <w:szCs w:val="32"/>
          <w:lang w:val="en-US" w:eastAsia="zh-CN"/>
        </w:rPr>
        <w:t>只能在元旦春节前使用，故</w:t>
      </w:r>
      <w:r>
        <w:rPr>
          <w:rFonts w:hint="eastAsia" w:ascii="仿宋_GB2312" w:hAnsi="宋体" w:eastAsia="仿宋_GB2312" w:cs="宋体"/>
          <w:kern w:val="0"/>
          <w:sz w:val="32"/>
          <w:szCs w:val="32"/>
        </w:rPr>
        <w:t>上半年预算执行进度较慢。</w:t>
      </w:r>
    </w:p>
    <w:p>
      <w:pPr>
        <w:keepNext w:val="0"/>
        <w:keepLines w:val="0"/>
        <w:pageBreakBefore w:val="0"/>
        <w:kinsoku/>
        <w:wordWrap/>
        <w:overflowPunct/>
        <w:topLinePunct w:val="0"/>
        <w:autoSpaceDN/>
        <w:bidi w:val="0"/>
        <w:adjustRightInd/>
        <w:spacing w:line="576" w:lineRule="exact"/>
        <w:ind w:firstLine="643" w:firstLineChars="200"/>
        <w:textAlignment w:val="auto"/>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（三）改进建议</w:t>
      </w:r>
    </w:p>
    <w:p>
      <w:pPr>
        <w:keepNext w:val="0"/>
        <w:keepLines w:val="0"/>
        <w:pageBreakBefore w:val="0"/>
        <w:kinsoku/>
        <w:wordWrap/>
        <w:overflowPunct/>
        <w:topLinePunct w:val="0"/>
        <w:autoSpaceDN/>
        <w:bidi w:val="0"/>
        <w:adjustRightInd/>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我们将进一步重视预算的编制工作，提高预算编制的</w:t>
      </w:r>
      <w:r>
        <w:rPr>
          <w:rFonts w:hint="eastAsia" w:ascii="仿宋_GB2312" w:hAnsi="宋体" w:eastAsia="仿宋_GB2312" w:cs="宋体"/>
          <w:kern w:val="0"/>
          <w:sz w:val="32"/>
          <w:szCs w:val="32"/>
          <w:lang w:val="en-US" w:eastAsia="zh-CN"/>
        </w:rPr>
        <w:t>科学性和</w:t>
      </w:r>
      <w:r>
        <w:rPr>
          <w:rFonts w:hint="eastAsia" w:ascii="仿宋_GB2312" w:hAnsi="宋体" w:eastAsia="仿宋_GB2312" w:cs="宋体"/>
          <w:kern w:val="0"/>
          <w:sz w:val="32"/>
          <w:szCs w:val="32"/>
        </w:rPr>
        <w:t>精确度，加快财政资金执行进度，提高财政资金使用效率。 </w:t>
      </w:r>
    </w:p>
    <w:p>
      <w:pPr>
        <w:keepNext w:val="0"/>
        <w:keepLines w:val="0"/>
        <w:pageBreakBefore w:val="0"/>
        <w:kinsoku/>
        <w:wordWrap/>
        <w:overflowPunct/>
        <w:topLinePunct w:val="0"/>
        <w:autoSpaceDN/>
        <w:bidi w:val="0"/>
        <w:adjustRightInd/>
        <w:spacing w:line="576" w:lineRule="exact"/>
        <w:jc w:val="center"/>
        <w:textAlignment w:val="auto"/>
        <w:rPr>
          <w:rFonts w:hint="eastAsia" w:ascii="仿宋_GB2312" w:hAnsi="华文仿宋" w:eastAsia="仿宋_GB2312"/>
          <w:sz w:val="32"/>
          <w:szCs w:val="32"/>
          <w:u w:val="single"/>
        </w:rPr>
      </w:pPr>
    </w:p>
    <w:p>
      <w:pPr>
        <w:spacing w:line="600" w:lineRule="exact"/>
        <w:jc w:val="center"/>
        <w:outlineLvl w:val="0"/>
        <w:rPr>
          <w:rFonts w:ascii="仿宋" w:eastAsia="仿宋"/>
        </w:rPr>
      </w:pPr>
      <w:bookmarkStart w:id="63" w:name="_Toc15396618"/>
      <w:r>
        <w:rPr>
          <w:rFonts w:hint="eastAsia" w:ascii="黑体" w:eastAsia="黑体"/>
          <w:sz w:val="44"/>
          <w:szCs w:val="44"/>
        </w:rPr>
        <w:t>第</w:t>
      </w:r>
      <w:r>
        <w:rPr>
          <w:rStyle w:val="16"/>
          <w:rFonts w:hint="eastAsia" w:ascii="黑体" w:eastAsia="黑体"/>
          <w:b w:val="0"/>
        </w:rPr>
        <w:t>五部分 附表</w:t>
      </w:r>
      <w:bookmarkEnd w:id="62"/>
      <w:bookmarkEnd w:id="63"/>
      <w:bookmarkStart w:id="64" w:name="_Toc15396619"/>
    </w:p>
    <w:p>
      <w:pPr>
        <w:pStyle w:val="4"/>
        <w:rPr>
          <w:rFonts w:ascii="仿宋" w:eastAsia="仿宋"/>
        </w:rPr>
      </w:pPr>
      <w:r>
        <w:rPr>
          <w:rFonts w:hint="eastAsia" w:ascii="仿宋" w:eastAsia="仿宋"/>
          <w:b w:val="0"/>
        </w:rPr>
        <w:t>一、收</w:t>
      </w:r>
      <w:r>
        <w:rPr>
          <w:rStyle w:val="17"/>
          <w:rFonts w:hint="eastAsia" w:ascii="仿宋" w:eastAsia="仿宋"/>
          <w:b w:val="0"/>
          <w:bCs w:val="0"/>
        </w:rPr>
        <w:t>入支出决算总表</w:t>
      </w:r>
      <w:bookmarkEnd w:id="64"/>
    </w:p>
    <w:p>
      <w:pPr>
        <w:pStyle w:val="4"/>
        <w:rPr>
          <w:rFonts w:ascii="仿宋" w:eastAsia="仿宋"/>
        </w:rPr>
      </w:pPr>
      <w:bookmarkStart w:id="65" w:name="_Toc15396620"/>
      <w:r>
        <w:rPr>
          <w:rFonts w:hint="eastAsia" w:ascii="仿宋" w:eastAsia="仿宋"/>
          <w:b w:val="0"/>
        </w:rPr>
        <w:t>二、收</w:t>
      </w:r>
      <w:r>
        <w:rPr>
          <w:rStyle w:val="17"/>
          <w:rFonts w:hint="eastAsia" w:ascii="仿宋" w:eastAsia="仿宋"/>
          <w:b w:val="0"/>
          <w:bCs w:val="0"/>
        </w:rPr>
        <w:t>入决算表</w:t>
      </w:r>
      <w:bookmarkEnd w:id="65"/>
    </w:p>
    <w:p>
      <w:pPr>
        <w:pStyle w:val="4"/>
        <w:rPr>
          <w:rFonts w:ascii="仿宋" w:eastAsia="仿宋"/>
        </w:rPr>
      </w:pPr>
      <w:bookmarkStart w:id="66" w:name="_Toc15396621"/>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66"/>
      <w:bookmarkStart w:id="77" w:name="_GoBack"/>
      <w:bookmarkEnd w:id="77"/>
    </w:p>
    <w:p>
      <w:pPr>
        <w:pStyle w:val="4"/>
        <w:rPr>
          <w:rFonts w:ascii="仿宋" w:eastAsia="仿宋"/>
          <w:b w:val="0"/>
        </w:rPr>
      </w:pPr>
      <w:bookmarkStart w:id="67" w:name="_Toc15396622"/>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67"/>
    </w:p>
    <w:p>
      <w:pPr>
        <w:pStyle w:val="4"/>
        <w:rPr>
          <w:rStyle w:val="17"/>
          <w:rFonts w:ascii="仿宋" w:eastAsia="仿宋"/>
          <w:b w:val="0"/>
          <w:bCs w:val="0"/>
        </w:rPr>
      </w:pPr>
      <w:bookmarkStart w:id="68" w:name="_Toc15396623"/>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68"/>
      <w:bookmarkStart w:id="69" w:name="_Toc15396624"/>
    </w:p>
    <w:p>
      <w:pPr>
        <w:pStyle w:val="4"/>
        <w:rPr>
          <w:rFonts w:ascii="仿宋" w:eastAsia="仿宋"/>
        </w:rPr>
      </w:pPr>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69"/>
    </w:p>
    <w:p>
      <w:pPr>
        <w:pStyle w:val="4"/>
        <w:rPr>
          <w:rFonts w:ascii="仿宋" w:eastAsia="仿宋"/>
        </w:rPr>
      </w:pPr>
      <w:bookmarkStart w:id="70"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70"/>
    </w:p>
    <w:p>
      <w:pPr>
        <w:pStyle w:val="4"/>
        <w:rPr>
          <w:rFonts w:ascii="仿宋" w:eastAsia="仿宋"/>
        </w:rPr>
      </w:pPr>
      <w:bookmarkStart w:id="71"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71"/>
    </w:p>
    <w:p>
      <w:pPr>
        <w:pStyle w:val="4"/>
        <w:rPr>
          <w:rFonts w:ascii="仿宋" w:eastAsia="仿宋"/>
        </w:rPr>
      </w:pPr>
      <w:bookmarkStart w:id="72" w:name="_Toc15396627"/>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72"/>
    </w:p>
    <w:p>
      <w:pPr>
        <w:pStyle w:val="4"/>
        <w:rPr>
          <w:rFonts w:ascii="仿宋" w:eastAsia="仿宋"/>
        </w:rPr>
      </w:pPr>
      <w:bookmarkStart w:id="73" w:name="_Toc15396628"/>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73"/>
    </w:p>
    <w:p>
      <w:pPr>
        <w:pStyle w:val="4"/>
        <w:rPr>
          <w:rFonts w:ascii="仿宋" w:eastAsia="仿宋"/>
        </w:rPr>
      </w:pPr>
      <w:bookmarkStart w:id="74" w:name="_Toc15396629"/>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74"/>
    </w:p>
    <w:p>
      <w:pPr>
        <w:pStyle w:val="4"/>
        <w:rPr>
          <w:rFonts w:ascii="仿宋" w:eastAsia="仿宋"/>
        </w:rPr>
      </w:pPr>
      <w:bookmarkStart w:id="75" w:name="_Toc15396630"/>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75"/>
    </w:p>
    <w:p>
      <w:pPr>
        <w:pStyle w:val="4"/>
        <w:rPr>
          <w:rStyle w:val="17"/>
          <w:rFonts w:ascii="仿宋" w:eastAsia="仿宋"/>
          <w:b w:val="0"/>
          <w:bCs w:val="0"/>
        </w:rPr>
      </w:pPr>
      <w:bookmarkStart w:id="76" w:name="_Toc15396631"/>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76"/>
    </w:p>
    <w:p>
      <w:pPr>
        <w:rPr>
          <w:rFonts w:eastAsia="仿宋"/>
        </w:rPr>
      </w:pPr>
      <w:r>
        <w:rPr>
          <w:rStyle w:val="17"/>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3426A"/>
    <w:multiLevelType w:val="singleLevel"/>
    <w:tmpl w:val="8683426A"/>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DCDF6CE3"/>
    <w:multiLevelType w:val="singleLevel"/>
    <w:tmpl w:val="DCDF6CE3"/>
    <w:lvl w:ilvl="0" w:tentative="0">
      <w:start w:val="3"/>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50" w:hanging="720"/>
      </w:pPr>
      <w:rPr>
        <w:rFonts w:hint="default"/>
        <w:b w:val="0"/>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4">
    <w:nsid w:val="79017D31"/>
    <w:multiLevelType w:val="multilevel"/>
    <w:tmpl w:val="79017D31"/>
    <w:lvl w:ilvl="0" w:tentative="0">
      <w:start w:val="2"/>
      <w:numFmt w:val="japaneseCounting"/>
      <w:lvlText w:val="%1、"/>
      <w:lvlJc w:val="left"/>
      <w:pPr>
        <w:ind w:left="720" w:hanging="720"/>
      </w:pPr>
      <w:rPr>
        <w:rFonts w:hint="default" w:ascii="黑体" w:eastAsia="黑体"/>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GMyMTNmZDJkZDE2MmY0ODI2YTk1YWVkZjJlOGFlYjMifQ=="/>
  </w:docVars>
  <w:rsids>
    <w:rsidRoot w:val="005A6850"/>
    <w:rsid w:val="003369FF"/>
    <w:rsid w:val="005A6850"/>
    <w:rsid w:val="007E0B38"/>
    <w:rsid w:val="00B44167"/>
    <w:rsid w:val="00D12052"/>
    <w:rsid w:val="00D90040"/>
    <w:rsid w:val="00DD0E6F"/>
    <w:rsid w:val="01646200"/>
    <w:rsid w:val="070C4668"/>
    <w:rsid w:val="09D5159C"/>
    <w:rsid w:val="0B9225E3"/>
    <w:rsid w:val="15816947"/>
    <w:rsid w:val="1FD2744C"/>
    <w:rsid w:val="22CA7FC6"/>
    <w:rsid w:val="23B5012E"/>
    <w:rsid w:val="23FA1B72"/>
    <w:rsid w:val="24486D5C"/>
    <w:rsid w:val="2593449F"/>
    <w:rsid w:val="2670658E"/>
    <w:rsid w:val="270E64D3"/>
    <w:rsid w:val="27CB2E4E"/>
    <w:rsid w:val="28E37000"/>
    <w:rsid w:val="296854A2"/>
    <w:rsid w:val="2CD84297"/>
    <w:rsid w:val="2F4B5F53"/>
    <w:rsid w:val="3103797D"/>
    <w:rsid w:val="321052FF"/>
    <w:rsid w:val="32D17C89"/>
    <w:rsid w:val="337B4EF0"/>
    <w:rsid w:val="34DB7842"/>
    <w:rsid w:val="35506F47"/>
    <w:rsid w:val="37F443DE"/>
    <w:rsid w:val="384775E9"/>
    <w:rsid w:val="384A2F64"/>
    <w:rsid w:val="40C32B0B"/>
    <w:rsid w:val="41265D6F"/>
    <w:rsid w:val="418E3CD4"/>
    <w:rsid w:val="429D3ABA"/>
    <w:rsid w:val="48CC4A53"/>
    <w:rsid w:val="49062273"/>
    <w:rsid w:val="494D63AA"/>
    <w:rsid w:val="49B64ACF"/>
    <w:rsid w:val="4AD64F49"/>
    <w:rsid w:val="4B3B68BB"/>
    <w:rsid w:val="5283444E"/>
    <w:rsid w:val="540E4A37"/>
    <w:rsid w:val="552D3719"/>
    <w:rsid w:val="57B11E20"/>
    <w:rsid w:val="59AA7B9B"/>
    <w:rsid w:val="5A5879DD"/>
    <w:rsid w:val="5C2018E1"/>
    <w:rsid w:val="5CC433D8"/>
    <w:rsid w:val="5CD65CCD"/>
    <w:rsid w:val="5D303630"/>
    <w:rsid w:val="5F3E65D7"/>
    <w:rsid w:val="5F5B5315"/>
    <w:rsid w:val="613B1436"/>
    <w:rsid w:val="61FF0E6B"/>
    <w:rsid w:val="62D66B7D"/>
    <w:rsid w:val="62EC491B"/>
    <w:rsid w:val="63893440"/>
    <w:rsid w:val="63BE76F0"/>
    <w:rsid w:val="654F73EE"/>
    <w:rsid w:val="666C01DA"/>
    <w:rsid w:val="66E82754"/>
    <w:rsid w:val="672030DD"/>
    <w:rsid w:val="684702DD"/>
    <w:rsid w:val="68691EF3"/>
    <w:rsid w:val="69514B28"/>
    <w:rsid w:val="69B5570F"/>
    <w:rsid w:val="6B5670CE"/>
    <w:rsid w:val="6B99345E"/>
    <w:rsid w:val="6C226D7B"/>
    <w:rsid w:val="6D32502C"/>
    <w:rsid w:val="6E6B0E12"/>
    <w:rsid w:val="74D47A9C"/>
    <w:rsid w:val="752C70F1"/>
    <w:rsid w:val="753A1798"/>
    <w:rsid w:val="7A63515A"/>
    <w:rsid w:val="7AE904D5"/>
    <w:rsid w:val="7C154867"/>
    <w:rsid w:val="7CA772CD"/>
    <w:rsid w:val="7E077F10"/>
    <w:rsid w:val="7EC02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字符"/>
    <w:basedOn w:val="13"/>
    <w:link w:val="3"/>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4"/>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uiPriority w:val="0"/>
    <w:rPr>
      <w:rFonts w:ascii="Times New Roman" w:hAnsi="Times New Roman"/>
      <w:sz w:val="18"/>
      <w:szCs w:val="18"/>
    </w:rPr>
  </w:style>
  <w:style w:type="character" w:customStyle="1" w:styleId="20">
    <w:name w:val="Body Text Char"/>
    <w:basedOn w:val="13"/>
    <w:uiPriority w:val="0"/>
    <w:rPr>
      <w:rFonts w:ascii="Times New Roman" w:hAnsi="Times New Roman"/>
      <w:szCs w:val="24"/>
    </w:r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uiPriority w:val="0"/>
    <w:pPr>
      <w:ind w:firstLine="200" w:firstLineChars="200"/>
    </w:pPr>
  </w:style>
  <w:style w:type="paragraph" w:customStyle="1" w:styleId="23">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uiPriority w:val="0"/>
    <w:pPr>
      <w:widowControl/>
      <w:spacing w:before="480" w:after="0" w:line="276" w:lineRule="auto"/>
      <w:jc w:val="left"/>
      <w:outlineLvl w:val="9"/>
    </w:pPr>
    <w:rPr>
      <w:rFonts w:ascii="Cambria" w:hAnsi="Cambria"/>
      <w:color w:val="376092"/>
      <w:kern w:val="0"/>
      <w:sz w:val="28"/>
      <w:szCs w:val="28"/>
    </w:rPr>
  </w:style>
  <w:style w:type="character" w:customStyle="1" w:styleId="25">
    <w:name w:val="标题 1 Char"/>
    <w:basedOn w:val="13"/>
    <w:link w:val="3"/>
    <w:qFormat/>
    <w:uiPriority w:val="9"/>
    <w:rPr>
      <w:rFonts w:ascii="Times New Roman" w:hAnsi="Times New Roman"/>
      <w:b/>
      <w:bCs/>
      <w:kern w:val="44"/>
      <w:sz w:val="44"/>
      <w:szCs w:val="44"/>
    </w:rPr>
  </w:style>
  <w:style w:type="character" w:customStyle="1" w:styleId="26">
    <w:name w:val="标题 2 Char"/>
    <w:basedOn w:val="13"/>
    <w:link w:val="4"/>
    <w:qFormat/>
    <w:uiPriority w:val="9"/>
    <w:rPr>
      <w:rFonts w:asciiTheme="majorHAnsi" w:hAnsiTheme="majorHAnsi" w:eastAsiaTheme="majorEastAsia" w:cstheme="majorBidi"/>
      <w:b/>
      <w:bCs/>
      <w:kern w:val="2"/>
      <w:sz w:val="32"/>
      <w:szCs w:val="32"/>
    </w:rPr>
  </w:style>
  <w:style w:type="character" w:customStyle="1" w:styleId="27">
    <w:name w:val="font21"/>
    <w:basedOn w:val="13"/>
    <w:uiPriority w:val="0"/>
    <w:rPr>
      <w:rFonts w:hint="default" w:ascii="Times New Roman" w:hAnsi="Times New Roman" w:cs="Times New Roman"/>
      <w:color w:val="000000"/>
      <w:sz w:val="24"/>
      <w:szCs w:val="24"/>
      <w:u w:val="none"/>
    </w:rPr>
  </w:style>
  <w:style w:type="character" w:customStyle="1" w:styleId="28">
    <w:name w:val="font31"/>
    <w:basedOn w:val="13"/>
    <w:uiPriority w:val="0"/>
    <w:rPr>
      <w:rFonts w:hint="eastAsia" w:ascii="宋体" w:hAnsi="宋体" w:eastAsia="宋体" w:cs="宋体"/>
      <w:color w:val="000000"/>
      <w:sz w:val="24"/>
      <w:szCs w:val="24"/>
      <w:u w:val="none"/>
    </w:rPr>
  </w:style>
  <w:style w:type="character" w:customStyle="1" w:styleId="29">
    <w:name w:val="font41"/>
    <w:basedOn w:val="13"/>
    <w:uiPriority w:val="0"/>
    <w:rPr>
      <w:rFonts w:hint="default" w:ascii="Times New Roman" w:hAnsi="Times New Roman" w:cs="Times New Roman"/>
      <w:color w:val="000000"/>
      <w:sz w:val="24"/>
      <w:szCs w:val="24"/>
      <w:u w:val="none"/>
    </w:rPr>
  </w:style>
  <w:style w:type="character" w:customStyle="1" w:styleId="30">
    <w:name w:val="font01"/>
    <w:basedOn w:val="13"/>
    <w:uiPriority w:val="0"/>
    <w:rPr>
      <w:rFonts w:hint="default" w:ascii="Times New Roman" w:hAnsi="Times New Roman" w:cs="Times New Roman"/>
      <w:color w:val="000000"/>
      <w:sz w:val="24"/>
      <w:szCs w:val="24"/>
      <w:u w:val="none"/>
    </w:rPr>
  </w:style>
  <w:style w:type="character" w:customStyle="1" w:styleId="31">
    <w:name w:val="font11"/>
    <w:basedOn w:val="1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收、支总计</c:v>
                </c:pt>
              </c:strCache>
            </c:strRef>
          </c:tx>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343.72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458.94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343.72</c:v>
                </c:pt>
                <c:pt idx="1">
                  <c:v>458.94</c:v>
                </c:pt>
              </c:numCache>
            </c:numRef>
          </c:val>
        </c:ser>
        <c:dLbls>
          <c:showLegendKey val="0"/>
          <c:showVal val="1"/>
          <c:showCatName val="0"/>
          <c:showSerName val="0"/>
          <c:showPercent val="0"/>
          <c:showBubbleSize val="0"/>
        </c:dLbls>
        <c:gapWidth val="150"/>
        <c:axId val="256640896"/>
        <c:axId val="256642432"/>
      </c:barChart>
      <c:catAx>
        <c:axId val="2566408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42432"/>
        <c:crosses val="autoZero"/>
        <c:auto val="1"/>
        <c:lblAlgn val="ctr"/>
        <c:lblOffset val="100"/>
        <c:noMultiLvlLbl val="0"/>
      </c:catAx>
      <c:valAx>
        <c:axId val="2566424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4089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总收入</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一般公共预算财政拨款收入</c:v>
                </c:pt>
                <c:pt idx="1">
                  <c:v>政府性基金预算财政拨款收入</c:v>
                </c:pt>
                <c:pt idx="2">
                  <c:v>上级补助收入</c:v>
                </c:pt>
                <c:pt idx="3">
                  <c:v>经营收入</c:v>
                </c:pt>
                <c:pt idx="4">
                  <c:v>附属单位上缴收入</c:v>
                </c:pt>
                <c:pt idx="5">
                  <c:v>其他收入</c:v>
                </c:pt>
              </c:strCache>
            </c:strRef>
          </c:cat>
          <c:val>
            <c:numRef>
              <c:f>Sheet1!$B$2:$B$7</c:f>
              <c:numCache>
                <c:formatCode>General</c:formatCode>
                <c:ptCount val="6"/>
                <c:pt idx="0">
                  <c:v>458.94</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497514601246015"/>
          <c:y val="0.251766971339639"/>
          <c:w val="0.486943370519302"/>
          <c:h val="0.6599496168506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7312691138748"/>
          <c:y val="0"/>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总支出</c:v>
                </c:pt>
              </c:strCache>
            </c:strRef>
          </c:tx>
          <c:explosion val="0"/>
          <c:dPt>
            <c:idx val="0"/>
            <c:bubble3D val="0"/>
          </c:dPt>
          <c:dPt>
            <c:idx val="1"/>
            <c:bubble3D val="0"/>
          </c:dPt>
          <c:dPt>
            <c:idx val="2"/>
            <c:bubble3D val="0"/>
          </c:dPt>
          <c:dPt>
            <c:idx val="3"/>
            <c:bubble3D val="0"/>
          </c:dPt>
          <c:dPt>
            <c:idx val="4"/>
            <c:bubble3D val="0"/>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300.36</c:v>
                </c:pt>
                <c:pt idx="1">
                  <c:v>158.58</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财政拨款收、支总计</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343.72</c:v>
                </c:pt>
                <c:pt idx="1">
                  <c:v>458.94</c:v>
                </c:pt>
              </c:numCache>
            </c:numRef>
          </c:val>
        </c:ser>
        <c:dLbls>
          <c:showLegendKey val="0"/>
          <c:showVal val="1"/>
          <c:showCatName val="0"/>
          <c:showSerName val="0"/>
          <c:showPercent val="0"/>
          <c:showBubbleSize val="0"/>
        </c:dLbls>
        <c:gapWidth val="150"/>
        <c:axId val="126783488"/>
        <c:axId val="126785024"/>
      </c:barChart>
      <c:catAx>
        <c:axId val="126783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785024"/>
        <c:crosses val="autoZero"/>
        <c:auto val="1"/>
        <c:lblAlgn val="ctr"/>
        <c:lblOffset val="100"/>
        <c:noMultiLvlLbl val="0"/>
      </c:catAx>
      <c:valAx>
        <c:axId val="126785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6783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343.72</c:v>
                </c:pt>
                <c:pt idx="1">
                  <c:v>458.94</c:v>
                </c:pt>
              </c:numCache>
            </c:numRef>
          </c:val>
        </c:ser>
        <c:dLbls>
          <c:showLegendKey val="0"/>
          <c:showVal val="1"/>
          <c:showCatName val="0"/>
          <c:showSerName val="0"/>
          <c:showPercent val="0"/>
          <c:showBubbleSize val="0"/>
        </c:dLbls>
        <c:gapWidth val="150"/>
        <c:axId val="256689664"/>
        <c:axId val="256691200"/>
      </c:barChart>
      <c:catAx>
        <c:axId val="2566896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91200"/>
        <c:crosses val="autoZero"/>
        <c:auto val="1"/>
        <c:lblAlgn val="ctr"/>
        <c:lblOffset val="100"/>
        <c:noMultiLvlLbl val="0"/>
      </c:catAx>
      <c:valAx>
        <c:axId val="2566912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8966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569973161249581"/>
                  <c:y val="0.01351726383039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69221281550333"/>
                  <c:y val="0.01739323282264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29998223906223"/>
                  <c:y val="0.06519685039370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38144574033509"/>
                  <c:y val="-0.04591426071741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34893335701458"/>
                  <c:y val="0.02378603837311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123077378485585"/>
                  <c:y val="-0.025751083440151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Sheet1!$B$2:$B$8</c:f>
              <c:numCache>
                <c:formatCode>General</c:formatCode>
                <c:ptCount val="7"/>
                <c:pt idx="0">
                  <c:v>0</c:v>
                </c:pt>
                <c:pt idx="1">
                  <c:v>0</c:v>
                </c:pt>
                <c:pt idx="2">
                  <c:v>0</c:v>
                </c:pt>
                <c:pt idx="3">
                  <c:v>0</c:v>
                </c:pt>
                <c:pt idx="4">
                  <c:v>429.26</c:v>
                </c:pt>
                <c:pt idx="5">
                  <c:v>12.43</c:v>
                </c:pt>
                <c:pt idx="6">
                  <c:v>17.25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2"/>
              <c:layout>
                <c:manualLayout>
                  <c:x val="-0.0462096153643445"/>
                  <c:y val="0.0011622047244094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14.91</c:v>
                </c:pt>
                <c:pt idx="2">
                  <c:v>0.11</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11821986107159"/>
          <c:y val="0.306341732283465"/>
          <c:w val="0.372113756864729"/>
          <c:h val="0.60331653543307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11869</Words>
  <Characters>12797</Characters>
  <Lines>57</Lines>
  <Paragraphs>16</Paragraphs>
  <TotalTime>26</TotalTime>
  <ScaleCrop>false</ScaleCrop>
  <LinksUpToDate>false</LinksUpToDate>
  <CharactersWithSpaces>13216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LENOVO</cp:lastModifiedBy>
  <cp:lastPrinted>2022-09-14T08:43:00Z</cp:lastPrinted>
  <dcterms:modified xsi:type="dcterms:W3CDTF">2022-09-26T03:51:10Z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C655EC0496984F63B9744F8CDAD579CF</vt:lpwstr>
  </property>
</Properties>
</file>